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A80D5C8">
      <w:pPr>
        <w:snapToGrid/>
        <w:spacing w:before="0" w:after="0" w:line="300" w:lineRule="auto"/>
        <w:ind w:firstLine="0" w:firstLineChars="0"/>
        <w:jc w:val="both"/>
        <w:rPr>
          <w:rFonts w:hint="eastAsia" w:ascii="华文新魏" w:hAnsi="Times New Roman" w:eastAsia="宋体" w:cs="Times New Roman"/>
          <w:b/>
          <w:spacing w:val="-70"/>
          <w:sz w:val="72"/>
          <w:szCs w:val="72"/>
          <w:lang w:val="en-US" w:eastAsia="zh-CN" w:bidi="ar-SA"/>
        </w:rPr>
      </w:pPr>
    </w:p>
    <w:p w14:paraId="47B81494">
      <w:pPr>
        <w:snapToGrid/>
        <w:spacing w:before="0" w:after="0" w:line="300" w:lineRule="auto"/>
        <w:ind w:firstLine="0" w:firstLineChars="0"/>
        <w:jc w:val="both"/>
        <w:rPr>
          <w:rFonts w:hint="eastAsia" w:ascii="华文新魏" w:hAnsi="Times New Roman" w:eastAsia="宋体" w:cs="Times New Roman"/>
          <w:b/>
          <w:spacing w:val="-70"/>
          <w:sz w:val="72"/>
          <w:szCs w:val="72"/>
          <w:lang w:val="en-US" w:eastAsia="zh-CN" w:bidi="ar-SA"/>
        </w:rPr>
      </w:pPr>
    </w:p>
    <w:p w14:paraId="52A6740A">
      <w:pPr>
        <w:snapToGrid/>
        <w:spacing w:before="0" w:after="0" w:line="300" w:lineRule="auto"/>
        <w:ind w:firstLine="0" w:firstLineChars="0"/>
        <w:jc w:val="both"/>
        <w:rPr>
          <w:rFonts w:hint="eastAsia" w:ascii="华文新魏" w:hAnsi="Times New Roman" w:eastAsia="宋体" w:cs="Times New Roman"/>
          <w:b/>
          <w:spacing w:val="-70"/>
          <w:sz w:val="72"/>
          <w:szCs w:val="72"/>
          <w:lang w:val="en-US" w:eastAsia="zh-CN" w:bidi="ar-SA"/>
        </w:rPr>
      </w:pPr>
    </w:p>
    <w:p w14:paraId="40366A0C">
      <w:pPr>
        <w:snapToGrid/>
        <w:spacing w:before="0" w:after="0" w:line="300" w:lineRule="auto"/>
        <w:ind w:firstLine="0" w:firstLineChars="0"/>
        <w:jc w:val="both"/>
        <w:rPr>
          <w:rFonts w:hint="eastAsia" w:ascii="华文新魏" w:hAnsi="Times New Roman" w:eastAsia="宋体" w:cs="Times New Roman"/>
          <w:b/>
          <w:spacing w:val="-70"/>
          <w:sz w:val="72"/>
          <w:szCs w:val="72"/>
          <w:lang w:val="en-US" w:eastAsia="zh-CN" w:bidi="ar-SA"/>
        </w:rPr>
      </w:pPr>
    </w:p>
    <w:p w14:paraId="39CDFB37">
      <w:pPr>
        <w:snapToGrid/>
        <w:spacing w:before="0" w:after="0" w:line="360" w:lineRule="auto"/>
        <w:ind w:firstLine="0" w:firstLineChars="0"/>
        <w:jc w:val="center"/>
        <w:rPr>
          <w:rFonts w:hint="eastAsia" w:ascii="宋体" w:hAnsi="宋体" w:eastAsia="宋体" w:cs="宋体"/>
          <w:b/>
          <w:sz w:val="52"/>
          <w:szCs w:val="52"/>
          <w:lang w:val="en-US" w:eastAsia="zh-CN" w:bidi="ar-SA"/>
        </w:rPr>
      </w:pPr>
      <w:r>
        <w:rPr>
          <w:rFonts w:hint="eastAsia" w:ascii="宋体" w:hAnsi="宋体" w:eastAsia="宋体" w:cs="宋体"/>
          <w:b/>
          <w:sz w:val="52"/>
          <w:szCs w:val="52"/>
          <w:lang w:val="en-US" w:eastAsia="zh-CN" w:bidi="ar-SA"/>
        </w:rPr>
        <w:t>自治区公共资源交易中心</w:t>
      </w:r>
    </w:p>
    <w:p w14:paraId="1CDD7A8F">
      <w:pPr>
        <w:snapToGrid/>
        <w:spacing w:before="0" w:after="0" w:line="360" w:lineRule="auto"/>
        <w:ind w:firstLine="0" w:firstLineChars="0"/>
        <w:jc w:val="center"/>
        <w:rPr>
          <w:rFonts w:hint="eastAsia" w:ascii="宋体" w:hAnsi="宋体" w:eastAsia="宋体" w:cs="宋体"/>
          <w:b/>
          <w:sz w:val="52"/>
          <w:szCs w:val="52"/>
          <w:lang w:val="en-US" w:eastAsia="zh-CN" w:bidi="ar-SA"/>
        </w:rPr>
      </w:pPr>
      <w:r>
        <w:rPr>
          <w:rFonts w:hint="eastAsia" w:ascii="宋体" w:hAnsi="宋体" w:eastAsia="宋体" w:cs="宋体"/>
          <w:b/>
          <w:sz w:val="52"/>
          <w:szCs w:val="52"/>
          <w:lang w:val="en-US" w:eastAsia="zh-CN" w:bidi="ar-SA"/>
        </w:rPr>
        <w:t>智能辅助评标系统</w:t>
      </w:r>
    </w:p>
    <w:p w14:paraId="4A11A738">
      <w:pPr>
        <w:snapToGrid/>
        <w:spacing w:before="0" w:after="0" w:line="360" w:lineRule="auto"/>
        <w:ind w:firstLine="0" w:firstLineChars="0"/>
        <w:jc w:val="center"/>
        <w:rPr>
          <w:rFonts w:hint="eastAsia" w:ascii="宋体" w:hAnsi="宋体" w:eastAsia="宋体" w:cs="宋体"/>
          <w:b/>
          <w:sz w:val="52"/>
          <w:szCs w:val="52"/>
          <w:lang w:val="en-US" w:eastAsia="zh-CN" w:bidi="ar-SA"/>
        </w:rPr>
      </w:pPr>
      <w:r>
        <w:rPr>
          <w:rFonts w:hint="eastAsia" w:ascii="宋体" w:hAnsi="宋体" w:eastAsia="宋体" w:cs="宋体"/>
          <w:b/>
          <w:sz w:val="52"/>
          <w:szCs w:val="52"/>
          <w:lang w:val="en-US" w:eastAsia="zh-CN" w:bidi="ar-SA"/>
        </w:rPr>
        <w:t>评委操作手册</w:t>
      </w:r>
    </w:p>
    <w:p w14:paraId="2973A058">
      <w:pPr>
        <w:keepNext w:val="0"/>
        <w:keepLines w:val="0"/>
        <w:widowControl/>
        <w:suppressLineNumbers w:val="0"/>
        <w:spacing w:before="157" w:beforeAutospacing="0" w:after="157" w:afterAutospacing="0"/>
        <w:ind w:left="0" w:right="0"/>
        <w:jc w:val="center"/>
        <w:rPr>
          <w:rFonts w:hint="eastAsia" w:ascii="思源宋体 CN" w:hAnsi="思源宋体 CN" w:eastAsia="思源宋体 CN" w:cs="思源宋体 CN"/>
          <w:b/>
          <w:bCs/>
          <w:i w:val="0"/>
          <w:iCs w:val="0"/>
          <w:color w:val="333333"/>
          <w:spacing w:val="0"/>
          <w:w w:val="100"/>
          <w:kern w:val="2"/>
          <w:sz w:val="48"/>
          <w:szCs w:val="48"/>
          <w:vertAlign w:val="baseline"/>
          <w:lang w:val="en-US" w:eastAsia="zh-CN" w:bidi="ar-SA"/>
        </w:rPr>
        <w:sectPr>
          <w:pgSz w:w="11905" w:h="16838"/>
          <w:pgMar w:top="1361" w:right="1417" w:bottom="1361" w:left="1417" w:header="712" w:footer="853" w:gutter="0"/>
          <w:cols w:space="720" w:num="1"/>
        </w:sectPr>
      </w:pPr>
    </w:p>
    <w:p w14:paraId="6238C344">
      <w:pPr>
        <w:pStyle w:val="2"/>
        <w:keepNext w:val="0"/>
        <w:keepLines w:val="0"/>
        <w:widowControl/>
        <w:suppressLineNumbers w:val="0"/>
        <w:snapToGrid/>
        <w:spacing w:before="80" w:beforeAutospacing="0" w:after="80" w:afterAutospacing="0" w:line="17" w:lineRule="atLeast"/>
        <w:ind w:left="0" w:right="0"/>
        <w:jc w:val="center"/>
        <w:outlineLvl w:val="9"/>
        <w:rPr>
          <w:rFonts w:hint="eastAsia" w:ascii="思源宋体 CN" w:hAnsi="思源宋体 CN" w:eastAsia="思源宋体 CN" w:cs="思源宋体 CN"/>
          <w:b/>
          <w:bCs/>
          <w:i w:val="0"/>
          <w:iCs w:val="0"/>
          <w:color w:val="1A1A1A"/>
          <w:spacing w:val="0"/>
          <w:w w:val="100"/>
          <w:kern w:val="44"/>
          <w:sz w:val="48"/>
          <w:szCs w:val="48"/>
          <w:vertAlign w:val="baseline"/>
          <w:lang w:val="en-US" w:eastAsia="zh-CN" w:bidi="ar"/>
        </w:rPr>
      </w:pPr>
      <w:r>
        <w:rPr>
          <w:rFonts w:hint="eastAsia" w:ascii="思源宋体 CN" w:hAnsi="思源宋体 CN" w:eastAsia="思源宋体 CN" w:cs="思源宋体 CN"/>
          <w:b/>
          <w:bCs/>
          <w:i w:val="0"/>
          <w:iCs w:val="0"/>
          <w:color w:val="1A1A1A"/>
          <w:spacing w:val="0"/>
          <w:w w:val="100"/>
          <w:kern w:val="44"/>
          <w:sz w:val="48"/>
          <w:szCs w:val="48"/>
          <w:vertAlign w:val="baseline"/>
          <w:lang w:val="en-US" w:eastAsia="zh-CN" w:bidi="ar"/>
        </w:rPr>
        <w:t>智能辅助评标系统专家</w:t>
      </w:r>
      <w:bookmarkStart w:id="3" w:name="_GoBack"/>
      <w:bookmarkEnd w:id="3"/>
      <w:r>
        <w:rPr>
          <w:rFonts w:hint="eastAsia" w:ascii="思源宋体 CN" w:hAnsi="思源宋体 CN" w:eastAsia="思源宋体 CN" w:cs="思源宋体 CN"/>
          <w:b/>
          <w:bCs/>
          <w:i w:val="0"/>
          <w:iCs w:val="0"/>
          <w:color w:val="1A1A1A"/>
          <w:spacing w:val="0"/>
          <w:w w:val="100"/>
          <w:kern w:val="44"/>
          <w:sz w:val="48"/>
          <w:szCs w:val="48"/>
          <w:vertAlign w:val="baseline"/>
          <w:lang w:val="en-US" w:eastAsia="zh-CN" w:bidi="ar"/>
        </w:rPr>
        <w:t>操作步骤</w:t>
      </w:r>
    </w:p>
    <w:p w14:paraId="31A7C1D1">
      <w:pPr>
        <w:pStyle w:val="3"/>
        <w:rPr>
          <w:rFonts w:ascii="思源宋体 CN" w:hAnsi="思源宋体 CN" w:eastAsia="思源宋体 CN" w:cs="思源宋体 CN"/>
        </w:rPr>
      </w:pPr>
      <w:bookmarkStart w:id="0" w:name="_Toc154494209"/>
      <w:r>
        <w:rPr>
          <w:rFonts w:ascii="思源宋体 CN" w:hAnsi="思源宋体 CN" w:eastAsia="思源宋体 CN" w:cs="思源宋体 CN"/>
          <w:lang w:val="en-US" w:eastAsia="zh-CN"/>
        </w:rPr>
        <w:t xml:space="preserve">1 </w:t>
      </w:r>
      <w:r>
        <w:rPr>
          <w:rFonts w:ascii="思源宋体 CN" w:hAnsi="思源宋体 CN" w:eastAsia="思源宋体 CN" w:cs="思源宋体 CN"/>
        </w:rPr>
        <w:t>系统登录</w:t>
      </w:r>
      <w:bookmarkEnd w:id="0"/>
    </w:p>
    <w:p w14:paraId="25705AE5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1、评委通过打开桌面上浏览器，直接进入评标系统登录页面。</w:t>
      </w:r>
    </w:p>
    <w:p w14:paraId="00D0009D">
      <w:pPr>
        <w:spacing w:line="360" w:lineRule="auto"/>
        <w:ind w:left="0"/>
        <w:jc w:val="center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8279765" cy="3921760"/>
            <wp:effectExtent l="0" t="0" r="635" b="2540"/>
            <wp:docPr id="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392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B6EBA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2、登录身份选择“评委”，输入代理公司提供的用户名（18位身份证号）和密码，点击“登录”需要评标的标段中。（每个标段的登陆名和密码不通用，请正确使用登录名和密码），如下图：</w:t>
      </w:r>
    </w:p>
    <w:p w14:paraId="1C459087">
      <w:pPr>
        <w:spacing w:line="360" w:lineRule="auto"/>
        <w:ind w:left="0"/>
        <w:jc w:val="center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8279765" cy="4076700"/>
            <wp:effectExtent l="0" t="0" r="635" b="0"/>
            <wp:docPr id="4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952F5">
      <w:pP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3、登陆后即可在【今日项目】看到本次要进行评标的项目，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点击【今日项目】、【已开标】、【未开标】，可以切换查看不同开标状态下的标段列表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如下图：</w:t>
      </w:r>
    </w:p>
    <w:p w14:paraId="581F695E">
      <w:pPr>
        <w:spacing w:line="360" w:lineRule="auto"/>
        <w:ind w:left="0"/>
        <w:jc w:val="center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8279765" cy="4030980"/>
            <wp:effectExtent l="0" t="0" r="635" b="7620"/>
            <wp:docPr id="4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0AF6F">
      <w:pPr>
        <w:pStyle w:val="3"/>
        <w:rPr>
          <w:rFonts w:ascii="思源宋体 CN" w:hAnsi="思源宋体 CN" w:eastAsia="思源宋体 CN" w:cs="思源宋体 CN"/>
          <w:lang w:val="en-US" w:eastAsia="zh-CN"/>
        </w:rPr>
      </w:pPr>
      <w:bookmarkStart w:id="1" w:name="_Toc154494210"/>
      <w:r>
        <w:rPr>
          <w:rFonts w:ascii="思源宋体 CN" w:hAnsi="思源宋体 CN" w:eastAsia="思源宋体 CN" w:cs="思源宋体 CN"/>
          <w:lang w:val="en-US" w:eastAsia="zh-CN"/>
        </w:rPr>
        <w:t>2 评标准备</w:t>
      </w:r>
      <w:bookmarkEnd w:id="1"/>
    </w:p>
    <w:p w14:paraId="72E9E3D7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1、点击“评标准备”菜单选项，进入当前节点详细页面，评标准备包含</w:t>
      </w:r>
      <w:r>
        <w:rPr>
          <w:rFonts w:hint="eastAsia" w:ascii="思源宋体 CN" w:hAnsi="思源宋体 CN" w:eastAsia="思源宋体 CN" w:cstheme="minorEastAsia"/>
          <w:sz w:val="28"/>
          <w:szCs w:val="28"/>
          <w:u w:val="single"/>
          <w:lang w:val="en-US" w:eastAsia="zh-CN"/>
        </w:rPr>
        <w:t>播放评委纪律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、</w:t>
      </w:r>
      <w:r>
        <w:rPr>
          <w:rFonts w:hint="eastAsia" w:ascii="思源宋体 CN" w:hAnsi="思源宋体 CN" w:eastAsia="思源宋体 CN" w:cstheme="minorEastAsia"/>
          <w:sz w:val="28"/>
          <w:szCs w:val="28"/>
          <w:u w:val="single"/>
          <w:lang w:val="en-US" w:eastAsia="zh-CN"/>
        </w:rPr>
        <w:t>确定评委回避单位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、</w:t>
      </w:r>
      <w:r>
        <w:rPr>
          <w:rFonts w:hint="eastAsia" w:ascii="思源宋体 CN" w:hAnsi="思源宋体 CN" w:eastAsia="思源宋体 CN" w:cstheme="minorEastAsia"/>
          <w:sz w:val="28"/>
          <w:szCs w:val="28"/>
          <w:u w:val="single"/>
          <w:lang w:val="en-US" w:eastAsia="zh-CN"/>
        </w:rPr>
        <w:t>确定评委负责人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。具体操作如下：</w:t>
      </w:r>
    </w:p>
    <w:p w14:paraId="3D5EB619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（1）播放评委纪律：阅读评委纪律。</w:t>
      </w:r>
    </w:p>
    <w:p w14:paraId="6FCEE7B2">
      <w:pPr>
        <w:spacing w:line="360" w:lineRule="auto"/>
        <w:ind w:left="0"/>
        <w:jc w:val="center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8279765" cy="4043045"/>
            <wp:effectExtent l="0" t="0" r="635" b="8255"/>
            <wp:docPr id="4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677AF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2、在评标开始前，所有评委均需要完成两步操作：评委回避和推荐评委负责人。</w:t>
      </w:r>
    </w:p>
    <w:p w14:paraId="40066C8D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（2）评委回避：点击开始分析按钮，智能辅助评审系统会根据历史库分析此页面将展示本标段，投标单位、代理公司及采购人的单位名称，请仔细查看是否存在需回避单位，并根据实际情况选择。</w:t>
      </w:r>
    </w:p>
    <w:p w14:paraId="585C0097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①如不需要进行回避，则直接点右上角【提交】按钮，如下图：</w:t>
      </w:r>
    </w:p>
    <w:p w14:paraId="7726FCB0">
      <w:pPr>
        <w:spacing w:before="0" w:after="0" w:line="360" w:lineRule="auto"/>
        <w:rPr>
          <w:rFonts w:hint="default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 xml:space="preserve"> </w:t>
      </w:r>
      <w:r>
        <w:drawing>
          <wp:inline distT="0" distB="0" distL="114300" distR="114300">
            <wp:extent cx="8279765" cy="4043045"/>
            <wp:effectExtent l="0" t="0" r="635" b="8255"/>
            <wp:docPr id="4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5D38B">
      <w:pPr>
        <w:spacing w:line="360" w:lineRule="auto"/>
        <w:ind w:left="0"/>
        <w:jc w:val="center"/>
      </w:pPr>
      <w:r>
        <w:drawing>
          <wp:inline distT="0" distB="0" distL="114300" distR="114300">
            <wp:extent cx="8279765" cy="4043045"/>
            <wp:effectExtent l="0" t="0" r="635" b="8255"/>
            <wp:docPr id="4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4C38F">
      <w:pPr>
        <w:spacing w:line="360" w:lineRule="auto"/>
        <w:ind w:left="0"/>
        <w:jc w:val="center"/>
      </w:pPr>
      <w:r>
        <w:drawing>
          <wp:inline distT="0" distB="0" distL="114300" distR="114300">
            <wp:extent cx="8279765" cy="2199640"/>
            <wp:effectExtent l="0" t="0" r="635" b="10160"/>
            <wp:docPr id="4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9E183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显示“确认要提交吗？”，点击“确认”，即为“提交成功！”，如下图：</w:t>
      </w:r>
    </w:p>
    <w:p w14:paraId="1E1F2CF4">
      <w:pPr>
        <w:spacing w:line="360" w:lineRule="auto"/>
        <w:ind w:left="0"/>
        <w:jc w:val="center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8279765" cy="4043045"/>
            <wp:effectExtent l="0" t="0" r="635" b="8255"/>
            <wp:docPr id="4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C7DA5">
      <w:pPr>
        <w:spacing w:line="360" w:lineRule="auto"/>
        <w:ind w:left="0"/>
        <w:jc w:val="center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8279765" cy="4043045"/>
            <wp:effectExtent l="0" t="0" r="635" b="8255"/>
            <wp:docPr id="5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1AF50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②如需回避，则选择对应单位的【回避】按钮，填写回避原因，点击【确定】按钮。（一般在登陆前，代理公司已经验证过评委信息，应回避的专家已回避过），如下图：</w:t>
      </w:r>
    </w:p>
    <w:p w14:paraId="27810286">
      <w:pPr>
        <w:spacing w:line="360" w:lineRule="auto"/>
        <w:ind w:left="0"/>
        <w:jc w:val="center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drawing>
          <wp:inline distT="0" distB="0" distL="0" distR="0">
            <wp:extent cx="8279765" cy="3394075"/>
            <wp:effectExtent l="0" t="0" r="635" b="9525"/>
            <wp:docPr id="23" name="picture" descr="descri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>
                      <a:picLocks noChangeAspect="1"/>
                    </pic:cNvPicPr>
                  </pic:nvPicPr>
                  <pic:blipFill>
                    <a:blip r:embed="rId15"/>
                    <a:srcRect t="5922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33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33F47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提示“确定是否继续回避？”，点击“确定”，即“回避成功！”，如下图：</w:t>
      </w:r>
    </w:p>
    <w:p w14:paraId="27650BBA">
      <w:pPr>
        <w:pBdr>
          <w:bottom w:val="none" w:color="auto" w:sz="0" w:space="0"/>
        </w:pBdr>
        <w:bidi w:val="0"/>
        <w:ind w:left="0" w:right="0" w:firstLineChars="0"/>
        <w:jc w:val="center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drawing>
          <wp:inline distT="0" distB="0" distL="0" distR="0">
            <wp:extent cx="8279765" cy="3353435"/>
            <wp:effectExtent l="0" t="0" r="635" b="12065"/>
            <wp:docPr id="26" name="picture" descr="descri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descript"/>
                    <pic:cNvPicPr>
                      <a:picLocks noChangeAspect="1"/>
                    </pic:cNvPicPr>
                  </pic:nvPicPr>
                  <pic:blipFill>
                    <a:blip r:embed="rId16"/>
                    <a:srcRect t="7629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33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C849C">
      <w:pPr>
        <w:spacing w:line="360" w:lineRule="auto"/>
        <w:ind w:left="0"/>
        <w:jc w:val="center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drawing>
          <wp:inline distT="0" distB="0" distL="0" distR="0">
            <wp:extent cx="8279765" cy="3425190"/>
            <wp:effectExtent l="0" t="0" r="635" b="3810"/>
            <wp:docPr id="29" name="picture" descr="descri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 descr="descript"/>
                    <pic:cNvPicPr>
                      <a:picLocks noChangeAspect="1"/>
                    </pic:cNvPicPr>
                  </pic:nvPicPr>
                  <pic:blipFill>
                    <a:blip r:embed="rId17"/>
                    <a:srcRect t="5655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34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6002E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点击“提交”，提示“确认要提交吗？”，点击“确认”，则退出评标页面，无法继续评标，如下图：</w:t>
      </w:r>
    </w:p>
    <w:p w14:paraId="0F019006">
      <w:pPr>
        <w:spacing w:line="360" w:lineRule="auto"/>
        <w:ind w:left="0"/>
        <w:jc w:val="center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drawing>
          <wp:inline distT="0" distB="0" distL="0" distR="0">
            <wp:extent cx="8279765" cy="3382645"/>
            <wp:effectExtent l="0" t="0" r="635" b="8255"/>
            <wp:docPr id="32" name="picture" descr="descri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descript"/>
                    <pic:cNvPicPr>
                      <a:picLocks noChangeAspect="1"/>
                    </pic:cNvPicPr>
                  </pic:nvPicPr>
                  <pic:blipFill>
                    <a:blip r:embed="rId18"/>
                    <a:srcRect t="6705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66726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（3）推荐评委负责人：待所有评委完成前述环节后共同进入此页面选择评标委员会负责人，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页面显示所有评委的姓名、</w:t>
      </w:r>
      <w:r>
        <w:rPr>
          <w:rFonts w:hint="eastAsia" w:ascii="思源宋体 CN" w:hAnsi="思源宋体 CN" w:eastAsia="思源宋体 CN" w:cs="思源宋体 CN"/>
          <w:i w:val="0"/>
          <w:strike w:val="0"/>
          <w:spacing w:val="0"/>
          <w:sz w:val="28"/>
          <w:u w:val="none"/>
          <w:lang w:val="en-US" w:eastAsia="zh-CN"/>
        </w:rPr>
        <w:t>年龄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、参与评标次数、</w:t>
      </w:r>
      <w:r>
        <w:rPr>
          <w:rFonts w:hint="eastAsia" w:ascii="思源宋体 CN" w:hAnsi="思源宋体 CN" w:eastAsia="思源宋体 CN" w:cs="思源宋体 CN"/>
          <w:i w:val="0"/>
          <w:strike w:val="0"/>
          <w:spacing w:val="0"/>
          <w:sz w:val="28"/>
          <w:u w:val="none"/>
          <w:lang w:val="en-US" w:eastAsia="zh-CN"/>
        </w:rPr>
        <w:t>评审时长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，评委可以按照以上情况来选择所要推荐的评委组长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。</w:t>
      </w:r>
    </w:p>
    <w:p w14:paraId="599F47E8">
      <w:pPr>
        <w:spacing w:before="0" w:after="0" w:line="360" w:lineRule="auto"/>
        <w:ind w:firstLineChars="20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①如果有专家未完成“评委回避”操作，点击此项页面会提示“无法访问菜单【推荐评委委员会负责人】，访问条件【评标委员回避】不满足！”</w:t>
      </w:r>
    </w:p>
    <w:p w14:paraId="2410430A">
      <w:pPr>
        <w:spacing w:line="360" w:lineRule="auto"/>
        <w:ind w:left="0"/>
        <w:jc w:val="center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drawing>
          <wp:inline distT="0" distB="0" distL="0" distR="0">
            <wp:extent cx="8279765" cy="3663950"/>
            <wp:effectExtent l="0" t="0" r="635" b="6350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19"/>
                    <a:srcRect t="6785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342A7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②等所有专家均完成回避操作后，页面为：</w:t>
      </w:r>
    </w:p>
    <w:p w14:paraId="51A18EB6">
      <w:pPr>
        <w:spacing w:line="360" w:lineRule="auto"/>
        <w:ind w:left="0"/>
        <w:jc w:val="center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8279765" cy="4042410"/>
            <wp:effectExtent l="0" t="0" r="635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FAC4F">
      <w:pPr>
        <w:spacing w:before="0" w:after="0" w:line="360" w:lineRule="auto"/>
        <w:ind w:firstLineChars="200"/>
        <w:rPr>
          <w:rFonts w:hint="eastAsia" w:ascii="思源宋体 CN" w:hAnsi="思源宋体 CN" w:eastAsia="思源宋体 CN" w:cs="思源宋体 CN"/>
          <w:color w:val="000000"/>
          <w:kern w:val="2"/>
          <w:sz w:val="28"/>
          <w:szCs w:val="28"/>
          <w:lang w:val="en-US" w:eastAsia="zh-CN" w:bidi="ar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③推荐评委负责人，在推荐的人员右上角点击【推荐组长】按钮，点击后即可，等待所有评委专家完成此项操作。</w:t>
      </w:r>
    </w:p>
    <w:p w14:paraId="7755E94D">
      <w:pPr>
        <w:pBdr>
          <w:bottom w:val="none" w:color="auto" w:sz="0" w:space="0"/>
        </w:pBdr>
        <w:spacing w:line="360" w:lineRule="auto"/>
        <w:ind w:left="0"/>
        <w:jc w:val="center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8279765" cy="4042410"/>
            <wp:effectExtent l="0" t="0" r="635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45248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④所有评委投完票后系统会依据少数服从多数原则，评选票数多的评委为评委负责人，系统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自动确定最终结果并显示负责人姓名。如果无符合条件的推荐结果，则不产生最终结果并提示重新推荐评委负责人，可进行下一轮推荐，直至按照得票数最多原则推荐出负责人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。如下图：</w:t>
      </w:r>
    </w:p>
    <w:p w14:paraId="39E747FC">
      <w:pPr>
        <w:spacing w:line="360" w:lineRule="auto"/>
        <w:ind w:left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8279765" cy="4042410"/>
            <wp:effectExtent l="0" t="0" r="635" b="889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D07BF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color w:val="FF0000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color w:val="FF0000"/>
          <w:sz w:val="28"/>
          <w:szCs w:val="28"/>
          <w:lang w:val="en-US" w:eastAsia="zh-CN"/>
        </w:rPr>
        <w:t>注：评委负责人有评标开始、智能评审分析、评审汇总、汇总评审报价、最终汇总结果及排名、推荐中标候选人权限，普通评委无此权限。</w:t>
      </w:r>
    </w:p>
    <w:p w14:paraId="146FEC87">
      <w:pPr>
        <w:spacing w:before="0" w:after="0" w:line="360" w:lineRule="auto"/>
        <w:ind w:firstLineChars="0"/>
        <w:rPr>
          <w:rFonts w:ascii="思源宋体 CN" w:hAnsi="思源宋体 CN" w:eastAsia="思源宋体 CN" w:cs="思源宋体 CN"/>
        </w:rPr>
      </w:pPr>
    </w:p>
    <w:p w14:paraId="300BB85D">
      <w:pPr>
        <w:pStyle w:val="3"/>
        <w:rPr>
          <w:rFonts w:ascii="思源宋体 CN" w:hAnsi="思源宋体 CN" w:eastAsia="思源宋体 CN" w:cs="思源宋体 CN"/>
          <w:lang w:val="en-US" w:eastAsia="zh-CN"/>
        </w:rPr>
      </w:pPr>
      <w:bookmarkStart w:id="2" w:name="_Toc154494211"/>
      <w:r>
        <w:rPr>
          <w:rFonts w:ascii="思源宋体 CN" w:hAnsi="思源宋体 CN" w:eastAsia="思源宋体 CN" w:cs="思源宋体 CN"/>
          <w:lang w:val="en-US" w:eastAsia="zh-CN"/>
        </w:rPr>
        <w:t>3 评标开始</w:t>
      </w:r>
      <w:bookmarkEnd w:id="2"/>
      <w:r>
        <w:rPr>
          <w:rFonts w:ascii="思源宋体 CN" w:hAnsi="思源宋体 CN" w:eastAsia="思源宋体 CN" w:cs="思源宋体 CN"/>
          <w:lang w:val="en-US" w:eastAsia="zh-CN"/>
        </w:rPr>
        <w:t xml:space="preserve"> </w:t>
      </w:r>
    </w:p>
    <w:p w14:paraId="62F06ADE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1、完成评标准备所有环节后，由评委负责人点击评标开始，进入评标流程。</w:t>
      </w:r>
    </w:p>
    <w:p w14:paraId="345D7ED1">
      <w:pPr>
        <w:pBdr>
          <w:bottom w:val="none" w:color="auto" w:sz="0" w:space="0"/>
        </w:pBdr>
        <w:spacing w:line="360" w:lineRule="auto"/>
        <w:ind w:left="0"/>
        <w:jc w:val="center"/>
        <w:rPr>
          <w:rFonts w:ascii="思源宋体 CN" w:hAnsi="思源宋体 CN" w:eastAsia="思源宋体 CN" w:cs="思源宋体 CN"/>
          <w:sz w:val="28"/>
        </w:rPr>
      </w:pPr>
      <w:r>
        <w:drawing>
          <wp:inline distT="0" distB="0" distL="114300" distR="114300">
            <wp:extent cx="8279765" cy="4042410"/>
            <wp:effectExtent l="0" t="0" r="635" b="889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 </w:t>
      </w:r>
    </w:p>
    <w:p w14:paraId="4E6EED82">
      <w:pPr>
        <w:pStyle w:val="3"/>
        <w:pBdr>
          <w:bottom w:val="none" w:color="auto" w:sz="0" w:space="0"/>
        </w:pBdr>
        <w:rPr>
          <w:rFonts w:hint="default" w:ascii="思源宋体 CN" w:hAnsi="思源宋体 CN" w:eastAsia="思源宋体 CN" w:cs="思源宋体 CN"/>
          <w:lang w:val="en-US" w:eastAsia="zh-CN"/>
        </w:rPr>
      </w:pPr>
      <w:r>
        <w:rPr>
          <w:rFonts w:ascii="思源宋体 CN" w:hAnsi="思源宋体 CN" w:eastAsia="思源宋体 CN" w:cs="思源宋体 CN"/>
          <w:lang w:val="en-US" w:eastAsia="zh-CN"/>
        </w:rPr>
        <w:t>4</w:t>
      </w:r>
      <w:r>
        <w:rPr>
          <w:rFonts w:hint="eastAsia" w:ascii="思源宋体 CN" w:hAnsi="思源宋体 CN" w:eastAsia="思源宋体 CN" w:cs="思源宋体 CN"/>
          <w:lang w:val="en-US" w:eastAsia="zh-CN"/>
        </w:rPr>
        <w:t>快捷菜单</w:t>
      </w:r>
    </w:p>
    <w:p w14:paraId="09E01533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快捷菜单介绍：</w:t>
      </w:r>
    </w:p>
    <w:p w14:paraId="0616EF9C">
      <w:pPr>
        <w:spacing w:line="360" w:lineRule="auto"/>
        <w:ind w:left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8279765" cy="4042410"/>
            <wp:effectExtent l="0" t="0" r="635" b="8890"/>
            <wp:docPr id="95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B0A94">
      <w:pPr>
        <w:pStyle w:val="4"/>
        <w:bidi w:val="0"/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  <w:t>4.1查看招标文件。</w:t>
      </w:r>
    </w:p>
    <w:p w14:paraId="7B13F8D4">
      <w:pPr>
        <w:numPr>
          <w:ilvl w:val="0"/>
          <w:numId w:val="0"/>
        </w:numPr>
        <w:spacing w:before="0" w:after="0" w:line="360" w:lineRule="auto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招标文件导入成功后，显示招标文件信息。</w:t>
      </w:r>
    </w:p>
    <w:p w14:paraId="1053B5DC">
      <w:pPr>
        <w:spacing w:line="360" w:lineRule="auto"/>
        <w:ind w:left="0"/>
        <w:jc w:val="both"/>
      </w:pPr>
      <w:r>
        <w:drawing>
          <wp:inline distT="0" distB="0" distL="114300" distR="114300">
            <wp:extent cx="8279765" cy="4042410"/>
            <wp:effectExtent l="0" t="0" r="635" b="8890"/>
            <wp:docPr id="9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5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6CD66">
      <w:pPr>
        <w:spacing w:line="360" w:lineRule="auto"/>
        <w:ind w:left="0"/>
        <w:jc w:val="both"/>
      </w:pPr>
    </w:p>
    <w:p w14:paraId="16931EC8">
      <w:pPr>
        <w:pStyle w:val="4"/>
        <w:bidi w:val="0"/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  <w:t>4.2查看投标文件。</w:t>
      </w:r>
    </w:p>
    <w:p w14:paraId="5C1ED5C2">
      <w:pPr>
        <w:numPr>
          <w:ilvl w:val="0"/>
          <w:numId w:val="0"/>
        </w:numPr>
        <w:spacing w:before="0" w:after="0" w:line="360" w:lineRule="auto"/>
        <w:ind w:leftChars="0" w:firstLine="560"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评标开始后，点击【查看投标文件】，可以查看单位的投标文件。如果评标办法是暗标评审，则暗标部分文件无法查看。</w:t>
      </w:r>
    </w:p>
    <w:p w14:paraId="00DFD03D">
      <w:pPr>
        <w:spacing w:line="360" w:lineRule="auto"/>
        <w:ind w:left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8279765" cy="4042410"/>
            <wp:effectExtent l="0" t="0" r="635" b="8890"/>
            <wp:docPr id="97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5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D536A">
      <w:pPr>
        <w:pStyle w:val="4"/>
        <w:bidi w:val="0"/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  <w:t>4.3澄清。</w:t>
      </w:r>
    </w:p>
    <w:p w14:paraId="3B6528B7">
      <w:pPr>
        <w:numPr>
          <w:ilvl w:val="0"/>
          <w:numId w:val="0"/>
        </w:numPr>
        <w:spacing w:before="0" w:after="0" w:line="360" w:lineRule="auto"/>
        <w:ind w:firstLine="560"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点击【澄清】菜单，评委组长点击【新增澄清】按钮，页面自动带入澄清标题（可修改），输入澄清内容、回复要求，选择澄清单位、回答期限，澄清相关附件非必传项，按照要求录入完成后点击【确认】按钮即可提交。</w:t>
      </w:r>
    </w:p>
    <w:p w14:paraId="479F9DE1">
      <w:pP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提交完成后，投标人可以查看并回复该澄清内容，投标人回复完成后所有评委可以查看回复内容和添加评委会意见。</w:t>
      </w:r>
    </w:p>
    <w:p w14:paraId="18C53F55">
      <w:pP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9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5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4DB26">
      <w:pPr>
        <w:spacing w:line="360" w:lineRule="auto"/>
        <w:ind w:left="0"/>
        <w:jc w:val="both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drawing>
          <wp:inline distT="0" distB="0" distL="0" distR="0">
            <wp:extent cx="8279765" cy="4238625"/>
            <wp:effectExtent l="0" t="0" r="635" b="3175"/>
            <wp:docPr id="26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" descr="descript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23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F5D1D">
      <w:pPr>
        <w:pStyle w:val="4"/>
        <w:bidi w:val="0"/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  <w:t>4.4废标。</w:t>
      </w:r>
    </w:p>
    <w:p w14:paraId="6087CEA3">
      <w:pP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①评委组长点击【废标】菜单，弹出否决投标页面。选择需要否决的单位、否决投标节点（注意选择正确的否决节点），否决投标理由（也可直接填写理由），点击【确定】按钮即可将单位否决，否决的单位将显示在否决投标单位一览表中。</w:t>
      </w:r>
    </w:p>
    <w:p w14:paraId="31C4B88B">
      <w:pP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9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5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DF136">
      <w:pPr>
        <w:spacing w:line="360" w:lineRule="auto"/>
        <w:ind w:left="0"/>
        <w:jc w:val="both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drawing>
          <wp:inline distT="0" distB="0" distL="0" distR="0">
            <wp:extent cx="8279765" cy="4238625"/>
            <wp:effectExtent l="0" t="0" r="635" b="3175"/>
            <wp:docPr id="26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" descr="descript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23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D5D55">
      <w:pP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②被否决的单位可以操作【取消否决】功能，进行取消否决操作。（工作人员和评委组长可以进行否决投标/取消否决投标，普通评委只能查看）</w:t>
      </w:r>
    </w:p>
    <w:p w14:paraId="715175E9">
      <w:pPr>
        <w:spacing w:line="360" w:lineRule="auto"/>
        <w:ind w:left="0"/>
        <w:jc w:val="both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drawing>
          <wp:inline distT="0" distB="0" distL="0" distR="0">
            <wp:extent cx="8279765" cy="4238625"/>
            <wp:effectExtent l="0" t="0" r="635" b="3175"/>
            <wp:docPr id="26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" descr="descript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23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A2881">
      <w:pP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③在否决投标单位一览表中，点击【打印否决投标通知书】，可以查看和打印被否决投标的单位情况。</w:t>
      </w:r>
    </w:p>
    <w:p w14:paraId="7EBDA90A">
      <w:pPr>
        <w:spacing w:line="360" w:lineRule="auto"/>
        <w:ind w:left="0"/>
        <w:jc w:val="both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drawing>
          <wp:inline distT="0" distB="0" distL="0" distR="0">
            <wp:extent cx="8279765" cy="4238625"/>
            <wp:effectExtent l="0" t="0" r="635" b="3175"/>
            <wp:docPr id="27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" descr="descript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23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DB008">
      <w:pPr>
        <w:pStyle w:val="4"/>
        <w:bidi w:val="0"/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  <w:t>4.5项目流标。</w:t>
      </w:r>
    </w:p>
    <w:p w14:paraId="3D6F6E68">
      <w:pPr>
        <w:numPr>
          <w:ilvl w:val="0"/>
          <w:numId w:val="0"/>
        </w:numPr>
        <w:spacing w:before="0" w:after="0" w:line="360" w:lineRule="auto"/>
        <w:ind w:firstLine="560"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评委组长点击【项目流标】菜单，页面显示标段编号、标段名称、开标时间、招标代理、操作人信息。组长选择流标阶段，输入流标理由后，点击【确定】按钮，即可完成流标。</w:t>
      </w:r>
    </w:p>
    <w:p w14:paraId="523DA0D6">
      <w:pPr>
        <w:numPr>
          <w:ilvl w:val="0"/>
          <w:numId w:val="0"/>
        </w:numPr>
        <w:spacing w:before="0" w:after="0" w:line="360" w:lineRule="auto"/>
        <w:ind w:firstLine="440" w:firstLineChars="200"/>
        <w:jc w:val="both"/>
        <w:rPr>
          <w:rFonts w:ascii="思源宋体 CN" w:hAnsi="思源宋体 CN" w:eastAsia="思源宋体 CN" w:cs="思源宋体 CN"/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101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5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" w:hAnsi="思源宋体 CN" w:eastAsia="思源宋体 CN" w:cs="思源宋体 CN"/>
        </w:rPr>
        <w:drawing>
          <wp:inline distT="0" distB="0" distL="0" distR="0">
            <wp:extent cx="8279765" cy="4238625"/>
            <wp:effectExtent l="0" t="0" r="635" b="3175"/>
            <wp:docPr id="27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" descr="descript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23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E1B20">
      <w:pPr>
        <w:widowControl w:val="0"/>
        <w:numPr>
          <w:ilvl w:val="0"/>
          <w:numId w:val="0"/>
        </w:numPr>
        <w:snapToGrid w:val="0"/>
        <w:spacing w:before="0" w:after="0" w:line="360" w:lineRule="auto"/>
        <w:jc w:val="both"/>
        <w:rPr>
          <w:rFonts w:ascii="思源宋体 CN" w:hAnsi="思源宋体 CN" w:eastAsia="思源宋体 CN" w:cs="思源宋体 CN"/>
          <w:lang w:val="en-US" w:eastAsia="zh-CN"/>
        </w:rPr>
      </w:pPr>
    </w:p>
    <w:p w14:paraId="207E3A29">
      <w:pPr>
        <w:pStyle w:val="3"/>
        <w:pBdr>
          <w:bottom w:val="none" w:color="auto" w:sz="0" w:space="0"/>
        </w:pBdr>
        <w:rPr>
          <w:rFonts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5</w:t>
      </w:r>
      <w:r>
        <w:rPr>
          <w:rFonts w:ascii="思源宋体 CN" w:hAnsi="思源宋体 CN" w:eastAsia="思源宋体 CN" w:cs="思源宋体 CN"/>
          <w:lang w:val="en-US" w:eastAsia="zh-CN"/>
        </w:rPr>
        <w:t>清标</w:t>
      </w:r>
    </w:p>
    <w:p w14:paraId="051CD0E2">
      <w:pPr>
        <w:spacing w:before="0" w:after="0" w:line="360" w:lineRule="auto"/>
        <w:ind w:firstLineChars="200"/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评标开始后，上方会展示出项目具体的评审流程，主要有清标、初步评审、详细评审、最终排名、评标结果。</w:t>
      </w:r>
      <w:r>
        <w:drawing>
          <wp:inline distT="0" distB="0" distL="114300" distR="114300">
            <wp:extent cx="8279765" cy="4042410"/>
            <wp:effectExtent l="0" t="0" r="635" b="8890"/>
            <wp:docPr id="1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84C47">
      <w:pPr>
        <w:pStyle w:val="4"/>
        <w:numPr>
          <w:ilvl w:val="0"/>
          <w:numId w:val="0"/>
        </w:numPr>
        <w:bidi w:val="0"/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  <w:t>5.1 清标</w:t>
      </w:r>
    </w:p>
    <w:p w14:paraId="5060E895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系统提供工程量清单清标（针对</w:t>
      </w:r>
      <w:r>
        <w:rPr>
          <w:rFonts w:hint="eastAsia" w:ascii="思源宋体 CN" w:hAnsi="思源宋体 CN" w:eastAsia="思源宋体 CN" w:cs="思源宋体 CN"/>
          <w:i w:val="0"/>
          <w:strike w:val="0"/>
          <w:spacing w:val="0"/>
          <w:sz w:val="28"/>
          <w:u w:val="none"/>
          <w:lang w:val="en-US" w:eastAsia="zh-CN"/>
        </w:rPr>
        <w:t>有清单的评标办法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)，评委组长点击【开始清标】按钮，系统会将工程清单清标结果展示在界面，评委可点击具体数字查看清标明细。</w:t>
      </w:r>
    </w:p>
    <w:p w14:paraId="00AED8FF">
      <w:pPr>
        <w:snapToGrid/>
        <w:spacing w:line="240" w:lineRule="auto"/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</w:pPr>
      <w:r>
        <w:drawing>
          <wp:inline distT="0" distB="0" distL="114300" distR="114300">
            <wp:extent cx="8279765" cy="4178300"/>
            <wp:effectExtent l="0" t="0" r="635" b="0"/>
            <wp:docPr id="10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5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9A8BE">
      <w:pPr>
        <w:snapToGrid/>
        <w:spacing w:line="240" w:lineRule="auto"/>
        <w:rPr>
          <w:rFonts w:hint="eastAsia" w:eastAsia="minorEastAsia"/>
          <w:lang w:eastAsia="zh-CN"/>
        </w:rPr>
      </w:pPr>
      <w:r>
        <w:rPr>
          <w:rFonts w:hint="eastAsia" w:eastAsia="minorEastAsia"/>
          <w:lang w:eastAsia="zh-CN"/>
        </w:rPr>
        <w:drawing>
          <wp:inline distT="0" distB="0" distL="114300" distR="114300">
            <wp:extent cx="8279765" cy="4060190"/>
            <wp:effectExtent l="0" t="0" r="635" b="3810"/>
            <wp:docPr id="103" name="图片 103" descr="81e93efe75c24677a7277dc67e363b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81e93efe75c24677a7277dc67e363b7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85BA3">
      <w:pPr>
        <w:pStyle w:val="4"/>
        <w:numPr>
          <w:ilvl w:val="0"/>
          <w:numId w:val="0"/>
        </w:numPr>
        <w:bidi w:val="0"/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  <w:t>5.2 标书雷同性分析</w:t>
      </w:r>
    </w:p>
    <w:p w14:paraId="3C268EC7">
      <w:pPr>
        <w:numPr>
          <w:ilvl w:val="0"/>
          <w:numId w:val="0"/>
        </w:numPr>
        <w:spacing w:before="0" w:after="0" w:line="360" w:lineRule="auto"/>
        <w:ind w:firstLine="560" w:firstLineChars="200"/>
        <w:rPr>
          <w:rFonts w:hint="default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  <w:t>标书雷同性分析包含标书特征码：文件制作机器码、文件创建标识码。评委在此界面可以查看参与投标的投标文件是否在同一电脑上编制，是否在同一个网络下递交标书。如下图：</w:t>
      </w:r>
    </w:p>
    <w:p w14:paraId="09D95083">
      <w:pPr>
        <w:snapToGrid/>
        <w:spacing w:line="240" w:lineRule="auto"/>
        <w:rPr>
          <w:rFonts w:hint="eastAsia" w:eastAsia="minorEastAsia"/>
          <w:lang w:eastAsia="zh-CN"/>
        </w:rPr>
      </w:pPr>
      <w:r>
        <w:rPr>
          <w:rFonts w:hint="eastAsia" w:eastAsia="minorEastAsia"/>
          <w:lang w:eastAsia="zh-CN"/>
        </w:rPr>
        <w:drawing>
          <wp:inline distT="0" distB="0" distL="114300" distR="114300">
            <wp:extent cx="8279765" cy="4177030"/>
            <wp:effectExtent l="0" t="0" r="635" b="1270"/>
            <wp:docPr id="104" name="图片 104" descr="b4fd7546aca43903ce0a2c3cf2fd92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b4fd7546aca43903ce0a2c3cf2fd92f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44846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  <w:t>特征码比对如下图：</w:t>
      </w:r>
    </w:p>
    <w:p w14:paraId="294D6571">
      <w:pPr>
        <w:numPr>
          <w:ilvl w:val="0"/>
          <w:numId w:val="0"/>
        </w:numPr>
        <w:spacing w:before="0" w:after="0" w:line="360" w:lineRule="auto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drawing>
          <wp:inline distT="0" distB="0" distL="114300" distR="114300">
            <wp:extent cx="8279765" cy="4150360"/>
            <wp:effectExtent l="0" t="0" r="635" b="2540"/>
            <wp:docPr id="105" name="图片 105" descr="e259fbed8d0b8bd799f117a5e389fa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e259fbed8d0b8bd799f117a5e389fae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15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CEB70">
      <w:pPr>
        <w:snapToGrid/>
        <w:spacing w:line="240" w:lineRule="auto"/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</w:pPr>
    </w:p>
    <w:p w14:paraId="40C23211">
      <w:pPr>
        <w:pStyle w:val="3"/>
        <w:rPr>
          <w:rFonts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6</w:t>
      </w:r>
      <w:r>
        <w:rPr>
          <w:rFonts w:ascii="思源宋体 CN" w:hAnsi="思源宋体 CN" w:eastAsia="思源宋体 CN" w:cs="思源宋体 CN"/>
          <w:lang w:val="en-US" w:eastAsia="zh-CN"/>
        </w:rPr>
        <w:t xml:space="preserve"> 初步评审</w:t>
      </w:r>
    </w:p>
    <w:p w14:paraId="79849916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初步评审分为形式评审、资格评审和响应性评审。</w:t>
      </w:r>
    </w:p>
    <w:p w14:paraId="5C466BC3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由于采用智能评审，在初步评审三个流程，其评审因素前后均会带有相应的提示图标，具体可参考5.2形式评审的页面介绍。</w:t>
      </w:r>
    </w:p>
    <w:p w14:paraId="0BF0DB4E">
      <w:pPr>
        <w:pStyle w:val="4"/>
        <w:bidi w:val="0"/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b/>
          <w:bCs/>
          <w:color w:val="333333"/>
          <w:kern w:val="2"/>
          <w:sz w:val="28"/>
          <w:szCs w:val="28"/>
          <w:lang w:val="en-US" w:eastAsia="zh-CN"/>
        </w:rPr>
        <w:t>6.1 智能评审</w:t>
      </w:r>
    </w:p>
    <w:p w14:paraId="4FFE44BF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系统根据评审因素，分为智能评审和人工评审，其中智能评审因素，系统根据投标人填报的字段信息提供智能分析结果，评委可点击智能分析报告进行查看详情，智能分析有通过、待人工复核和不通过三种结果。</w:t>
      </w:r>
    </w:p>
    <w:p w14:paraId="3867D8EF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color w:val="FF0000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color w:val="FF0000"/>
          <w:sz w:val="28"/>
          <w:szCs w:val="28"/>
          <w:lang w:val="en-US" w:eastAsia="zh-CN"/>
        </w:rPr>
        <w:t>注：智能分析报告数据仅供参考，最终评审结论以评标委员会核实投标文件中的佐证资料判定为准。</w:t>
      </w:r>
    </w:p>
    <w:p w14:paraId="6F334CE8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  <w:t>①点击【开始分析】按钮，进行智能分析，如下图：</w:t>
      </w:r>
    </w:p>
    <w:p w14:paraId="3E4A7FD1">
      <w:pPr>
        <w:snapToGrid/>
        <w:spacing w:line="240" w:lineRule="auto"/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</w:pPr>
      <w:r>
        <w:drawing>
          <wp:inline distT="0" distB="0" distL="114300" distR="114300">
            <wp:extent cx="8279765" cy="4042410"/>
            <wp:effectExtent l="0" t="0" r="635" b="8890"/>
            <wp:docPr id="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44679">
      <w:pPr>
        <w:snapToGrid/>
        <w:spacing w:line="240" w:lineRule="auto"/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</w:pPr>
    </w:p>
    <w:p w14:paraId="5581BE1F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  <w:t>②智能分析完成后，页面展示</w:t>
      </w:r>
      <w:r>
        <w:rPr>
          <w:rFonts w:ascii="思源宋体 CN" w:hAnsi="思源宋体 CN" w:eastAsia="思源宋体 CN" w:cs="思源宋体 CN"/>
          <w:i w:val="0"/>
          <w:strike w:val="0"/>
          <w:color w:val="000000"/>
          <w:spacing w:val="0"/>
          <w:sz w:val="28"/>
          <w:u w:val="none"/>
        </w:rPr>
        <w:t>分析用时、分析项、分析单位、预计减少人工的数据，</w:t>
      </w:r>
      <w:r>
        <w:rPr>
          <w:rFonts w:hint="eastAsia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  <w:t>如下图：</w:t>
      </w:r>
    </w:p>
    <w:p w14:paraId="451D5378">
      <w:pPr>
        <w:snapToGrid/>
        <w:spacing w:line="240" w:lineRule="auto"/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</w:pPr>
      <w:r>
        <w:drawing>
          <wp:inline distT="0" distB="0" distL="114300" distR="114300">
            <wp:extent cx="8279765" cy="4042410"/>
            <wp:effectExtent l="0" t="0" r="635" b="8890"/>
            <wp:docPr id="4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1B3CC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  <w:t>③点击【智能分析报告】按钮，可以查看分析详情，报告中简要的显示了项目信息、单位智能评审结果、分析情况说明，如下图：</w:t>
      </w:r>
    </w:p>
    <w:p w14:paraId="39AE0562">
      <w:pPr>
        <w:snapToGrid/>
        <w:spacing w:line="240" w:lineRule="auto"/>
      </w:pPr>
      <w:r>
        <w:drawing>
          <wp:inline distT="0" distB="0" distL="114300" distR="114300">
            <wp:extent cx="8279765" cy="4042410"/>
            <wp:effectExtent l="0" t="0" r="635" b="8890"/>
            <wp:docPr id="4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312B8">
      <w:pPr>
        <w:pStyle w:val="4"/>
        <w:bidi w:val="0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6</w:t>
      </w:r>
      <w:r>
        <w:rPr>
          <w:rFonts w:ascii="思源宋体 CN" w:hAnsi="思源宋体 CN" w:eastAsia="思源宋体 CN" w:cs="思源宋体 CN"/>
        </w:rPr>
        <w:t>.</w:t>
      </w:r>
      <w:r>
        <w:rPr>
          <w:rFonts w:hint="eastAsia" w:ascii="思源宋体 CN" w:hAnsi="思源宋体 CN" w:eastAsia="思源宋体 CN" w:cs="思源宋体 CN"/>
          <w:lang w:val="en-US" w:eastAsia="zh-CN"/>
        </w:rPr>
        <w:t>2</w:t>
      </w:r>
      <w:r>
        <w:rPr>
          <w:rFonts w:ascii="思源宋体 CN" w:hAnsi="思源宋体 CN" w:eastAsia="思源宋体 CN" w:cs="思源宋体 CN"/>
        </w:rPr>
        <w:t xml:space="preserve"> </w:t>
      </w:r>
      <w:r>
        <w:rPr>
          <w:rFonts w:hint="eastAsia" w:ascii="思源宋体 CN" w:hAnsi="思源宋体 CN" w:eastAsia="思源宋体 CN" w:cs="思源宋体 CN"/>
          <w:lang w:val="en-US" w:eastAsia="zh-CN"/>
        </w:rPr>
        <w:t>技术标雷同性分析</w:t>
      </w:r>
    </w:p>
    <w:p w14:paraId="7BA015B8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default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color w:val="000000"/>
          <w:sz w:val="28"/>
          <w:szCs w:val="28"/>
          <w:lang w:val="en-US" w:eastAsia="zh-CN"/>
        </w:rPr>
        <w:t>分析结果如下图：</w:t>
      </w:r>
    </w:p>
    <w:p w14:paraId="1BE7F810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default"/>
          <w:lang w:val="en-US" w:eastAsia="zh-CN"/>
        </w:rPr>
      </w:pPr>
      <w:r>
        <w:drawing>
          <wp:inline distT="0" distB="0" distL="114300" distR="114300">
            <wp:extent cx="8639810" cy="3870325"/>
            <wp:effectExtent l="0" t="0" r="8890" b="3175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639810" cy="387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97544">
      <w:pPr>
        <w:pStyle w:val="4"/>
        <w:bidi w:val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6</w:t>
      </w:r>
      <w:r>
        <w:rPr>
          <w:rFonts w:ascii="思源宋体 CN" w:hAnsi="思源宋体 CN" w:eastAsia="思源宋体 CN" w:cs="思源宋体 CN"/>
        </w:rPr>
        <w:t>.</w:t>
      </w:r>
      <w:r>
        <w:rPr>
          <w:rFonts w:hint="eastAsia" w:ascii="思源宋体 CN" w:hAnsi="思源宋体 CN" w:eastAsia="思源宋体 CN" w:cs="思源宋体 CN"/>
          <w:lang w:val="en-US" w:eastAsia="zh-CN"/>
        </w:rPr>
        <w:t>3</w:t>
      </w:r>
      <w:r>
        <w:rPr>
          <w:rFonts w:ascii="思源宋体 CN" w:hAnsi="思源宋体 CN" w:eastAsia="思源宋体 CN" w:cs="思源宋体 CN"/>
        </w:rPr>
        <w:t xml:space="preserve"> 形式评审</w:t>
      </w:r>
    </w:p>
    <w:p w14:paraId="79E4D5E1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1、点击【初步评审】-【形式评审】，可以查看页面详情。</w:t>
      </w:r>
    </w:p>
    <w:p w14:paraId="3B414F93">
      <w:pPr>
        <w:snapToGrid/>
        <w:spacing w:line="240" w:lineRule="auto"/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</w:pPr>
      <w:r>
        <w:drawing>
          <wp:inline distT="0" distB="0" distL="114300" distR="114300">
            <wp:extent cx="8279765" cy="4042410"/>
            <wp:effectExtent l="0" t="0" r="635" b="8890"/>
            <wp:docPr id="5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C89F2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2、页面介绍：</w:t>
      </w:r>
    </w:p>
    <w:p w14:paraId="43DBAD22">
      <w:pPr>
        <w:pBdr>
          <w:bottom w:val="none" w:color="auto" w:sz="0" w:space="0"/>
        </w:pBdr>
        <w:snapToGrid/>
        <w:spacing w:line="240" w:lineRule="auto"/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279765" cy="4067810"/>
            <wp:effectExtent l="0" t="0" r="635" b="8890"/>
            <wp:docPr id="55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5" descr="IMG_25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67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AACF3E6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①点击可查看页面操作说明。</w:t>
      </w:r>
    </w:p>
    <w:p w14:paraId="2161876E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②单位挑选区，可以查看参与评审的所有单位，点击对应单位，即可挑选单位进行评审。</w:t>
      </w:r>
    </w:p>
    <w:p w14:paraId="2316B03F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</w:p>
    <w:p w14:paraId="1ED2C30E">
      <w:pPr>
        <w:pBdr>
          <w:bottom w:val="none" w:color="auto" w:sz="0" w:space="0"/>
        </w:pBd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③评审单位投标文件目录展示区。</w:t>
      </w:r>
    </w:p>
    <w:p w14:paraId="43A3966B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④评审单位投标文件内容展示区。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点击左侧评分点</w:t>
      </w:r>
      <w:r>
        <w:rPr>
          <w:rFonts w:hint="eastAsia" w:ascii="思源宋体 CN" w:hAnsi="思源宋体 CN" w:eastAsia="思源宋体 CN" w:cstheme="minorEastAsia"/>
          <w:sz w:val="28"/>
          <w:szCs w:val="28"/>
          <w:shd w:val="clear" w:color="auto" w:fill="auto"/>
          <w:lang w:val="en-US" w:eastAsia="zh-CN"/>
        </w:rPr>
        <w:t>系统会自动展示该评分点对应的投标文件部分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；也可以展开目录选择后跳转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。</w:t>
      </w:r>
    </w:p>
    <w:p w14:paraId="08D51FAF">
      <w:pPr>
        <w:pBdr>
          <w:bottom w:val="none" w:color="auto" w:sz="0" w:space="0"/>
        </w:pBd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⑤智能评审结果采纳：</w:t>
      </w:r>
    </w:p>
    <w:p w14:paraId="66F22834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⑥【一键通过】按钮，此操作，可对所有单位本页面正在进行的未评审过的评审点全部置为“通过”状态。</w:t>
      </w:r>
    </w:p>
    <w:p w14:paraId="2054EED9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⑦【确认提交】按钮，在所有需要评审的单位完成本页面评审后，提交评审情况。</w:t>
      </w:r>
    </w:p>
    <w:p w14:paraId="561B9284">
      <w:pP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⑧图标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drawing>
          <wp:inline distT="0" distB="0" distL="0" distR="0">
            <wp:extent cx="200025" cy="180975"/>
            <wp:effectExtent l="0" t="0" r="0" b="0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和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drawing>
          <wp:inline distT="0" distB="0" distL="0" distR="0">
            <wp:extent cx="190500" cy="190500"/>
            <wp:effectExtent l="0" t="0" r="0" b="0"/>
            <wp:docPr id="11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" descr="descript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用来区分智能和人工评审因素；针对智能评审因素，系统会自动根据评审标准对招标文件要求和投标响应进行自动分析，并提供评委可参考的结论，评委评审打分。针对人工评审因素，需评委查看投标文件进行评审。</w:t>
      </w:r>
    </w:p>
    <w:p w14:paraId="327B40EB">
      <w:pP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color w:val="FF0000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color w:val="FF0000"/>
          <w:sz w:val="28"/>
          <w:szCs w:val="28"/>
          <w:lang w:val="en-US" w:eastAsia="zh-CN"/>
        </w:rPr>
        <w:t>注：智能辅助分析结果仅供评委参考，最终评审结论以评标委员会核实投标文件中的佐证资料的判定为准。</w:t>
      </w:r>
    </w:p>
    <w:p w14:paraId="2699C35D">
      <w:pPr>
        <w:pBdr>
          <w:bottom w:val="none" w:color="auto" w:sz="0" w:space="0"/>
        </w:pBd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</w:p>
    <w:p w14:paraId="48596BC3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⑨点击下拉框选择【通过】【不通过】即可对各评分点进行评审。</w:t>
      </w:r>
    </w:p>
    <w:p w14:paraId="15110C94">
      <w:pP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="思源宋体 CN"/>
          <w:i w:val="0"/>
          <w:strike w:val="0"/>
          <w:spacing w:val="0"/>
          <w:sz w:val="28"/>
          <w:u w:val="none"/>
          <w:lang w:val="en-US" w:eastAsia="zh-CN"/>
        </w:rPr>
        <w:t>⑩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智能评分点有：通过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drawing>
          <wp:inline distT="0" distB="0" distL="0" distR="0">
            <wp:extent cx="219075" cy="190500"/>
            <wp:effectExtent l="0" t="0" r="0" b="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、需复核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drawing>
          <wp:inline distT="0" distB="0" distL="0" distR="0">
            <wp:extent cx="219075" cy="200025"/>
            <wp:effectExtent l="0" t="0" r="0" b="0"/>
            <wp:docPr id="1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" descr="descript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、已复核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drawing>
          <wp:inline distT="0" distB="0" distL="0" distR="0">
            <wp:extent cx="200025" cy="180975"/>
            <wp:effectExtent l="0" t="0" r="0" b="0"/>
            <wp:docPr id="11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" descr="descript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、不通过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drawing>
          <wp:inline distT="0" distB="0" distL="0" distR="0">
            <wp:extent cx="200025" cy="190500"/>
            <wp:effectExtent l="0" t="0" r="0" b="0"/>
            <wp:docPr id="1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" descr="descript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，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代表着其评分点通过智能分析的结论，</w:t>
      </w:r>
      <w:r>
        <w:rPr>
          <w:rFonts w:hint="eastAsia" w:ascii="思源宋体 CN" w:hAnsi="思源宋体 CN" w:eastAsia="思源宋体 CN" w:cstheme="minorEastAsia"/>
          <w:color w:val="333333"/>
          <w:sz w:val="28"/>
          <w:szCs w:val="28"/>
          <w:shd w:val="clear" w:color="auto" w:fill="auto"/>
          <w:lang w:val="en-US" w:eastAsia="zh-CN"/>
        </w:rPr>
        <w:t>评委在每个评审步骤需点击对应图标，右侧会自动展示分析结果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。其中图标</w:t>
      </w:r>
      <w:r>
        <w:drawing>
          <wp:inline distT="0" distB="0" distL="0" distR="0">
            <wp:extent cx="219075" cy="190500"/>
            <wp:effectExtent l="0" t="0" r="0" b="0"/>
            <wp:docPr id="1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" descr="descript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代表智能辅助分析通过，图标</w:t>
      </w:r>
      <w:r>
        <w:drawing>
          <wp:inline distT="0" distB="0" distL="0" distR="0">
            <wp:extent cx="219075" cy="200025"/>
            <wp:effectExtent l="0" t="0" r="0" b="0"/>
            <wp:docPr id="12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" descr="descript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代表智能辅助分析需评委复核，图标</w:t>
      </w:r>
      <w:r>
        <w:drawing>
          <wp:inline distT="0" distB="0" distL="0" distR="0">
            <wp:extent cx="200025" cy="180975"/>
            <wp:effectExtent l="0" t="0" r="0" b="0"/>
            <wp:docPr id="13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" descr="descript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代表智能辅助分析评委已复核，图标</w:t>
      </w:r>
      <w:r>
        <w:drawing>
          <wp:inline distT="0" distB="0" distL="0" distR="0">
            <wp:extent cx="200025" cy="190500"/>
            <wp:effectExtent l="0" t="0" r="0" b="0"/>
            <wp:docPr id="13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" descr="descript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代表智能辅助分析不通过。</w:t>
      </w:r>
    </w:p>
    <w:p w14:paraId="6BA9CD0C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⑪</w:t>
      </w:r>
      <w:r>
        <w:drawing>
          <wp:inline distT="0" distB="0" distL="0" distR="0">
            <wp:extent cx="209550" cy="190500"/>
            <wp:effectExtent l="0" t="0" r="6350" b="0"/>
            <wp:docPr id="1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" descr="descript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：支持批量通过，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drawing>
          <wp:inline distT="0" distB="0" distL="0" distR="0">
            <wp:extent cx="219075" cy="180975"/>
            <wp:effectExtent l="0" t="0" r="0" b="0"/>
            <wp:docPr id="14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" descr="descript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：批量引用智能评标结果。</w:t>
      </w:r>
    </w:p>
    <w:p w14:paraId="4274E9CE">
      <w:pPr>
        <w:pBdr>
          <w:bottom w:val="none" w:color="auto" w:sz="0" w:space="0"/>
        </w:pBd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color w:val="FF0000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3、评委专家依据标书及评分点要求进行评审，在评审过程中，所有操作自动保存，点击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drawing>
          <wp:inline distT="0" distB="0" distL="0" distR="0">
            <wp:extent cx="304800" cy="257175"/>
            <wp:effectExtent l="0" t="0" r="0" b="0"/>
            <wp:docPr id="14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" descr="descript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按钮可以进行评审意见录入，完成后，点击【确认提交】按钮，提交后无法修改。</w:t>
      </w:r>
    </w:p>
    <w:p w14:paraId="22D99190">
      <w:pPr>
        <w:rPr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5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158A3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5、提交后，页面会弹出评委评审进度。</w:t>
      </w:r>
    </w:p>
    <w:p w14:paraId="6B402179">
      <w:pPr>
        <w:rPr>
          <w:rFonts w:ascii="思源宋体 CN" w:hAnsi="思源宋体 CN" w:eastAsia="思源宋体 CN" w:cs="思源宋体 CN"/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5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AEFC1">
      <w:pPr>
        <w:pStyle w:val="4"/>
        <w:bidi w:val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6</w:t>
      </w:r>
      <w:r>
        <w:rPr>
          <w:rFonts w:ascii="思源宋体 CN" w:hAnsi="思源宋体 CN" w:eastAsia="思源宋体 CN" w:cs="思源宋体 CN"/>
        </w:rPr>
        <w:t>.</w:t>
      </w:r>
      <w:r>
        <w:rPr>
          <w:rFonts w:hint="eastAsia" w:ascii="思源宋体 CN" w:hAnsi="思源宋体 CN" w:eastAsia="思源宋体 CN" w:cs="思源宋体 CN"/>
          <w:lang w:val="en-US" w:eastAsia="zh-CN"/>
        </w:rPr>
        <w:t>4</w:t>
      </w:r>
      <w:r>
        <w:rPr>
          <w:rFonts w:ascii="思源宋体 CN" w:hAnsi="思源宋体 CN" w:eastAsia="思源宋体 CN" w:cs="思源宋体 CN"/>
        </w:rPr>
        <w:t>形式评审汇总</w:t>
      </w:r>
    </w:p>
    <w:p w14:paraId="5F78E01D">
      <w:pPr>
        <w:pBdr>
          <w:bottom w:val="none" w:color="auto" w:sz="0" w:space="0"/>
        </w:pBd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1、【初步评审】-【形式评审汇总】，当评委组长未点击【评审汇总】按钮，如有其余评委已提交，但需要修改时，可在此页面操作退回。点击右上方下拉框，选择需要退回的评委名称，点击【退回重评】按钮。</w:t>
      </w:r>
    </w:p>
    <w:p w14:paraId="69089384">
      <w:pPr>
        <w:rPr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6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2CC8F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2、当所有评委都提交后，评委组长点击【评审汇总】按钮，此项页面将按评委展示汇总结果。</w:t>
      </w:r>
    </w:p>
    <w:p w14:paraId="3FAD5FAA">
      <w:pPr>
        <w:rPr>
          <w:lang w:val="en-US" w:eastAsia="zh-CN"/>
        </w:rPr>
      </w:pPr>
      <w:r>
        <w:drawing>
          <wp:inline distT="0" distB="0" distL="114300" distR="114300">
            <wp:extent cx="8279765" cy="4064635"/>
            <wp:effectExtent l="0" t="0" r="635" b="12065"/>
            <wp:docPr id="100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5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51F90">
      <w:pPr>
        <w:rPr>
          <w:lang w:val="en-US" w:eastAsia="zh-CN"/>
        </w:rPr>
      </w:pPr>
    </w:p>
    <w:p w14:paraId="272F3516">
      <w:pPr>
        <w:pStyle w:val="4"/>
        <w:bidi w:val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6</w:t>
      </w:r>
      <w:r>
        <w:rPr>
          <w:rFonts w:ascii="思源宋体 CN" w:hAnsi="思源宋体 CN" w:eastAsia="思源宋体 CN" w:cs="思源宋体 CN"/>
        </w:rPr>
        <w:t>.</w:t>
      </w:r>
      <w:r>
        <w:rPr>
          <w:rFonts w:hint="eastAsia" w:ascii="思源宋体 CN" w:hAnsi="思源宋体 CN" w:eastAsia="思源宋体 CN" w:cs="思源宋体 CN"/>
          <w:lang w:val="en-US" w:eastAsia="zh-CN"/>
        </w:rPr>
        <w:t>5</w:t>
      </w:r>
      <w:r>
        <w:rPr>
          <w:rFonts w:ascii="思源宋体 CN" w:hAnsi="思源宋体 CN" w:eastAsia="思源宋体 CN" w:cs="思源宋体 CN"/>
        </w:rPr>
        <w:t>资格评审</w:t>
      </w:r>
    </w:p>
    <w:p w14:paraId="60E0E1F0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操作同5.4形式评审，请参照上文。</w:t>
      </w:r>
    </w:p>
    <w:p w14:paraId="2033742B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6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D946E">
      <w:pPr>
        <w:pStyle w:val="4"/>
        <w:bidi w:val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6</w:t>
      </w:r>
      <w:r>
        <w:rPr>
          <w:rFonts w:ascii="思源宋体 CN" w:hAnsi="思源宋体 CN" w:eastAsia="思源宋体 CN" w:cs="思源宋体 CN"/>
        </w:rPr>
        <w:t>.</w:t>
      </w:r>
      <w:r>
        <w:rPr>
          <w:rFonts w:hint="eastAsia" w:ascii="思源宋体 CN" w:hAnsi="思源宋体 CN" w:eastAsia="思源宋体 CN" w:cs="思源宋体 CN"/>
          <w:lang w:val="en-US" w:eastAsia="zh-CN"/>
        </w:rPr>
        <w:t>6</w:t>
      </w:r>
      <w:r>
        <w:rPr>
          <w:rFonts w:ascii="思源宋体 CN" w:hAnsi="思源宋体 CN" w:eastAsia="思源宋体 CN" w:cs="思源宋体 CN"/>
        </w:rPr>
        <w:t xml:space="preserve"> 资格评审汇总</w:t>
      </w:r>
    </w:p>
    <w:p w14:paraId="314DDDE6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操作同5.5形式评审汇总，请参照上文。</w:t>
      </w:r>
    </w:p>
    <w:p w14:paraId="7D922D88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6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9DC92">
      <w:pPr>
        <w:pStyle w:val="4"/>
        <w:bidi w:val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6</w:t>
      </w:r>
      <w:r>
        <w:rPr>
          <w:rFonts w:ascii="思源宋体 CN" w:hAnsi="思源宋体 CN" w:eastAsia="思源宋体 CN" w:cs="思源宋体 CN"/>
        </w:rPr>
        <w:t>.</w:t>
      </w:r>
      <w:r>
        <w:rPr>
          <w:rFonts w:hint="eastAsia" w:ascii="思源宋体 CN" w:hAnsi="思源宋体 CN" w:eastAsia="思源宋体 CN" w:cs="思源宋体 CN"/>
          <w:lang w:val="en-US" w:eastAsia="zh-CN"/>
        </w:rPr>
        <w:t>7</w:t>
      </w:r>
      <w:r>
        <w:rPr>
          <w:rFonts w:ascii="思源宋体 CN" w:hAnsi="思源宋体 CN" w:eastAsia="思源宋体 CN" w:cs="思源宋体 CN"/>
        </w:rPr>
        <w:t>响应性评审</w:t>
      </w:r>
    </w:p>
    <w:p w14:paraId="7199C2E3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操作同5.4形式评审，请参照上文。</w:t>
      </w:r>
    </w:p>
    <w:p w14:paraId="58A16A7A">
      <w:pPr>
        <w:pStyle w:val="4"/>
        <w:bidi w:val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6</w:t>
      </w:r>
      <w:r>
        <w:rPr>
          <w:rFonts w:ascii="思源宋体 CN" w:hAnsi="思源宋体 CN" w:eastAsia="思源宋体 CN" w:cs="思源宋体 CN"/>
        </w:rPr>
        <w:t>.</w:t>
      </w:r>
      <w:r>
        <w:rPr>
          <w:rFonts w:hint="eastAsia" w:ascii="思源宋体 CN" w:hAnsi="思源宋体 CN" w:eastAsia="思源宋体 CN" w:cs="思源宋体 CN"/>
          <w:lang w:val="en-US" w:eastAsia="zh-CN"/>
        </w:rPr>
        <w:t>8</w:t>
      </w:r>
      <w:r>
        <w:rPr>
          <w:rFonts w:ascii="思源宋体 CN" w:hAnsi="思源宋体 CN" w:eastAsia="思源宋体 CN" w:cs="思源宋体 CN"/>
        </w:rPr>
        <w:t>响应性评审汇总</w:t>
      </w:r>
    </w:p>
    <w:p w14:paraId="2AB7BD4B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操作同5.5形式评审汇总，请参照上文。</w:t>
      </w:r>
    </w:p>
    <w:p w14:paraId="00719F17">
      <w:pPr>
        <w:pStyle w:val="4"/>
        <w:bidi w:val="0"/>
        <w:rPr>
          <w:rFonts w:hint="default" w:ascii="思源宋体 CN" w:hAnsi="思源宋体 CN" w:eastAsia="思源宋体 CN" w:cs="思源宋体 CN"/>
          <w:lang w:val="en-US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6</w:t>
      </w:r>
      <w:r>
        <w:rPr>
          <w:rFonts w:ascii="思源宋体 CN" w:hAnsi="思源宋体 CN" w:eastAsia="思源宋体 CN" w:cs="思源宋体 CN"/>
        </w:rPr>
        <w:t>.</w:t>
      </w:r>
      <w:r>
        <w:rPr>
          <w:rFonts w:hint="eastAsia" w:ascii="思源宋体 CN" w:hAnsi="思源宋体 CN" w:eastAsia="思源宋体 CN" w:cs="思源宋体 CN"/>
          <w:lang w:val="en-US" w:eastAsia="zh-CN"/>
        </w:rPr>
        <w:t>9废标单位查看</w:t>
      </w:r>
    </w:p>
    <w:p w14:paraId="7CE1995E">
      <w:pPr>
        <w:spacing w:before="0" w:after="0" w:line="360" w:lineRule="auto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6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20E02">
      <w:pPr>
        <w:pStyle w:val="4"/>
        <w:bidi w:val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6</w:t>
      </w:r>
      <w:r>
        <w:rPr>
          <w:rFonts w:ascii="思源宋体 CN" w:hAnsi="思源宋体 CN" w:eastAsia="思源宋体 CN" w:cs="思源宋体 CN"/>
        </w:rPr>
        <w:t>.</w:t>
      </w:r>
      <w:r>
        <w:rPr>
          <w:rFonts w:hint="eastAsia" w:ascii="思源宋体 CN" w:hAnsi="思源宋体 CN" w:eastAsia="思源宋体 CN" w:cs="思源宋体 CN"/>
          <w:lang w:val="en-US" w:eastAsia="zh-CN"/>
        </w:rPr>
        <w:t>10</w:t>
      </w:r>
      <w:r>
        <w:rPr>
          <w:rFonts w:ascii="思源宋体 CN" w:hAnsi="思源宋体 CN" w:eastAsia="思源宋体 CN" w:cs="思源宋体 CN"/>
        </w:rPr>
        <w:t xml:space="preserve"> 标价比价表</w:t>
      </w:r>
    </w:p>
    <w:p w14:paraId="08B32C6C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1、点击【重新生成标价比较表】按钮，展示最终的评审价格，如下图：</w:t>
      </w:r>
    </w:p>
    <w:p w14:paraId="3D0E3FE8">
      <w:pPr>
        <w:rPr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6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85414">
      <w:pPr>
        <w:rPr>
          <w:lang w:val="en-US" w:eastAsia="zh-CN"/>
        </w:rPr>
      </w:pPr>
    </w:p>
    <w:p w14:paraId="7AC128DA">
      <w:pPr>
        <w:pStyle w:val="3"/>
        <w:pBdr>
          <w:bottom w:val="none" w:color="auto" w:sz="0" w:space="0"/>
        </w:pBdr>
        <w:rPr>
          <w:rFonts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7</w:t>
      </w:r>
      <w:r>
        <w:rPr>
          <w:rFonts w:ascii="思源宋体 CN" w:hAnsi="思源宋体 CN" w:eastAsia="思源宋体 CN" w:cs="思源宋体 CN"/>
          <w:lang w:val="en-US" w:eastAsia="zh-CN"/>
        </w:rPr>
        <w:t xml:space="preserve"> </w:t>
      </w:r>
      <w:r>
        <w:rPr>
          <w:rFonts w:hint="eastAsia" w:ascii="思源宋体 CN" w:hAnsi="思源宋体 CN" w:eastAsia="思源宋体 CN" w:cs="思源宋体 CN"/>
          <w:lang w:val="en-US" w:eastAsia="zh-CN"/>
        </w:rPr>
        <w:t>技术标</w:t>
      </w:r>
      <w:r>
        <w:rPr>
          <w:rFonts w:ascii="思源宋体 CN" w:hAnsi="思源宋体 CN" w:eastAsia="思源宋体 CN" w:cs="思源宋体 CN"/>
          <w:lang w:val="en-US" w:eastAsia="zh-CN"/>
        </w:rPr>
        <w:t>评审</w:t>
      </w:r>
    </w:p>
    <w:p w14:paraId="71E0CA86">
      <w:pPr>
        <w:pStyle w:val="4"/>
        <w:pBdr>
          <w:bottom w:val="none" w:color="auto" w:sz="0" w:space="0"/>
        </w:pBdr>
        <w:rPr>
          <w:rFonts w:hint="default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7</w:t>
      </w:r>
      <w:r>
        <w:rPr>
          <w:rFonts w:ascii="思源宋体 CN" w:hAnsi="思源宋体 CN" w:eastAsia="思源宋体 CN" w:cs="思源宋体 CN"/>
        </w:rPr>
        <w:t xml:space="preserve">.1 </w:t>
      </w:r>
      <w:r>
        <w:rPr>
          <w:rFonts w:hint="eastAsia" w:ascii="思源宋体 CN" w:hAnsi="思源宋体 CN" w:eastAsia="思源宋体 CN" w:cs="思源宋体 CN"/>
          <w:lang w:val="en-US" w:eastAsia="zh-CN"/>
        </w:rPr>
        <w:t>技术标评审</w:t>
      </w:r>
    </w:p>
    <w:p w14:paraId="75F7B5CD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1、【技术标评审】-【技术标评审】，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技术标开启了暗标，则该页面的投标单位名称以暗标编号的形式展示。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点击右上角【细致打分】按钮，评委手动录入各单位评分点得分，点击</w:t>
      </w:r>
      <w:r>
        <w:drawing>
          <wp:inline distT="0" distB="0" distL="0" distR="0">
            <wp:extent cx="304800" cy="257175"/>
            <wp:effectExtent l="0" t="0" r="0" b="0"/>
            <wp:docPr id="17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按钮可以进行评审意见录入，完成后点击【确认提交】按钮，提交后只可查看。</w:t>
      </w:r>
    </w:p>
    <w:p w14:paraId="1BB939BF">
      <w:pPr>
        <w:rPr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6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CF1BA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2、提交后，页面会弹出评委评审进度。</w:t>
      </w:r>
    </w:p>
    <w:p w14:paraId="56789C43">
      <w:pPr>
        <w:rPr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6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2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B48B8">
      <w:pPr>
        <w:pStyle w:val="4"/>
        <w:pBdr>
          <w:bottom w:val="none" w:color="auto" w:sz="0" w:space="0"/>
        </w:pBd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7</w:t>
      </w:r>
      <w:r>
        <w:rPr>
          <w:rFonts w:ascii="思源宋体 CN" w:hAnsi="思源宋体 CN" w:eastAsia="思源宋体 CN" w:cs="思源宋体 CN"/>
        </w:rPr>
        <w:t>.2 技术</w:t>
      </w:r>
      <w:r>
        <w:rPr>
          <w:rFonts w:hint="eastAsia" w:ascii="思源宋体 CN" w:hAnsi="思源宋体 CN" w:eastAsia="思源宋体 CN" w:cs="思源宋体 CN"/>
          <w:lang w:val="en-US" w:eastAsia="zh-CN"/>
        </w:rPr>
        <w:t>标评审</w:t>
      </w:r>
      <w:r>
        <w:rPr>
          <w:rFonts w:ascii="思源宋体 CN" w:hAnsi="思源宋体 CN" w:eastAsia="思源宋体 CN" w:cs="思源宋体 CN"/>
        </w:rPr>
        <w:t>汇总</w:t>
      </w:r>
    </w:p>
    <w:p w14:paraId="163EC683">
      <w:pPr>
        <w:pBdr>
          <w:bottom w:val="none" w:color="auto" w:sz="0" w:space="0"/>
        </w:pBd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【技术标评审】-【技术标评审汇总】，当评委组长未点击【评审汇总】按钮，如有其余评委已提交，但需要修改时，可在此页面操作退回。点击右上方下拉框，选择需要退回的评委名称，点击【退回重评】按钮。</w:t>
      </w:r>
    </w:p>
    <w:p w14:paraId="21F77220">
      <w:r>
        <w:drawing>
          <wp:inline distT="0" distB="0" distL="114300" distR="114300">
            <wp:extent cx="8279765" cy="4042410"/>
            <wp:effectExtent l="0" t="0" r="635" b="8890"/>
            <wp:docPr id="6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B650E">
      <w:pPr>
        <w:rPr>
          <w:lang w:val="en-US" w:eastAsia="zh-CN"/>
        </w:rPr>
      </w:pPr>
    </w:p>
    <w:p w14:paraId="1C5ADEB0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2、当所有评委都提交后，评委组长点击【评审汇总】按钮，此项页面将按评委展示汇总结果。</w:t>
      </w:r>
    </w:p>
    <w:p w14:paraId="1B5234EB">
      <w:pPr>
        <w:rPr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6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08E4A">
      <w:pPr>
        <w:pStyle w:val="3"/>
        <w:pBdr>
          <w:bottom w:val="none" w:color="auto" w:sz="0" w:space="0"/>
        </w:pBdr>
        <w:outlineLvl w:val="1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8</w:t>
      </w:r>
      <w:r>
        <w:rPr>
          <w:rFonts w:ascii="思源宋体 CN" w:hAnsi="思源宋体 CN" w:eastAsia="思源宋体 CN" w:cs="思源宋体 CN"/>
        </w:rPr>
        <w:t>商务</w:t>
      </w:r>
      <w:r>
        <w:rPr>
          <w:rFonts w:hint="eastAsia" w:ascii="思源宋体 CN" w:hAnsi="思源宋体 CN" w:eastAsia="思源宋体 CN" w:cs="思源宋体 CN"/>
          <w:lang w:val="en-US" w:eastAsia="zh-CN"/>
        </w:rPr>
        <w:t>标评审</w:t>
      </w:r>
    </w:p>
    <w:p w14:paraId="0BFB849C">
      <w:pPr>
        <w:pStyle w:val="4"/>
        <w:pBdr>
          <w:bottom w:val="none" w:color="auto" w:sz="0" w:space="0"/>
        </w:pBdr>
        <w:outlineLvl w:val="2"/>
        <w:rPr>
          <w:rFonts w:hint="default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8.1</w:t>
      </w:r>
      <w:r>
        <w:rPr>
          <w:rFonts w:ascii="思源宋体 CN" w:hAnsi="思源宋体 CN" w:eastAsia="思源宋体 CN" w:cs="思源宋体 CN"/>
        </w:rPr>
        <w:t>商务</w:t>
      </w:r>
      <w:r>
        <w:rPr>
          <w:rFonts w:hint="eastAsia" w:ascii="思源宋体 CN" w:hAnsi="思源宋体 CN" w:eastAsia="思源宋体 CN" w:cs="思源宋体 CN"/>
          <w:lang w:val="en-US" w:eastAsia="zh-CN"/>
        </w:rPr>
        <w:t>标评审</w:t>
      </w:r>
    </w:p>
    <w:p w14:paraId="47BCEBBC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CF28321">
      <w:pPr>
        <w:pBdr>
          <w:bottom w:val="none" w:color="auto" w:sz="0" w:space="0"/>
        </w:pBd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1、【商务标评审】-【商务标评审】，可查看页面详情，评委点击分值后面的刷新按钮，系统将根据清单里的投标报价自动算出分数，需要评委</w:t>
      </w:r>
      <w:r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  <w:t>对自动算分进行确认</w:t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。</w:t>
      </w:r>
    </w:p>
    <w:p w14:paraId="6BBA7194">
      <w:pPr>
        <w:rPr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7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40614">
      <w:pPr>
        <w:pBdr>
          <w:bottom w:val="none" w:color="auto" w:sz="0" w:space="0"/>
        </w:pBd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2、点击对应评分点自动算分按钮，可查看各投标单位算分详情，点击</w:t>
      </w:r>
      <w:r>
        <w:drawing>
          <wp:inline distT="0" distB="0" distL="0" distR="0">
            <wp:extent cx="304800" cy="257175"/>
            <wp:effectExtent l="0" t="0" r="0" b="0"/>
            <wp:docPr id="19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按钮可以进行评审意见录入，得分确认后，点击【确认提交】按钮，提交后只可查看。</w:t>
      </w:r>
    </w:p>
    <w:p w14:paraId="7F39E37B">
      <w:r>
        <w:drawing>
          <wp:inline distT="0" distB="0" distL="114300" distR="114300">
            <wp:extent cx="8279765" cy="4042410"/>
            <wp:effectExtent l="0" t="0" r="635" b="8890"/>
            <wp:docPr id="7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F0562">
      <w:pPr>
        <w:rPr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7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8C668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3、提交后，页面会弹出评委评审进度。</w:t>
      </w:r>
    </w:p>
    <w:p w14:paraId="04944BCC">
      <w:pPr>
        <w:rPr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7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D52D7">
      <w:pPr>
        <w:pStyle w:val="4"/>
        <w:pBdr>
          <w:bottom w:val="none" w:color="auto" w:sz="0" w:space="0"/>
        </w:pBd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8.2</w:t>
      </w:r>
      <w:r>
        <w:rPr>
          <w:rFonts w:ascii="思源宋体 CN" w:hAnsi="思源宋体 CN" w:eastAsia="思源宋体 CN" w:cs="思源宋体 CN"/>
        </w:rPr>
        <w:t>商务</w:t>
      </w:r>
      <w:r>
        <w:rPr>
          <w:rFonts w:hint="eastAsia" w:ascii="思源宋体 CN" w:hAnsi="思源宋体 CN" w:eastAsia="思源宋体 CN" w:cs="思源宋体 CN"/>
          <w:lang w:val="en-US" w:eastAsia="zh-CN"/>
        </w:rPr>
        <w:t>标评审</w:t>
      </w:r>
      <w:r>
        <w:rPr>
          <w:rFonts w:ascii="思源宋体 CN" w:hAnsi="思源宋体 CN" w:eastAsia="思源宋体 CN" w:cs="思源宋体 CN"/>
        </w:rPr>
        <w:t>汇总</w:t>
      </w:r>
    </w:p>
    <w:p w14:paraId="2456B590">
      <w:pPr>
        <w:pBdr>
          <w:bottom w:val="none" w:color="auto" w:sz="0" w:space="0"/>
        </w:pBdr>
        <w:spacing w:before="0" w:after="0" w:line="360" w:lineRule="auto"/>
        <w:ind w:firstLineChars="200"/>
        <w:jc w:val="both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【商务标评审】-【商务标评审汇总】，当评委组长未点击【评审汇总】按钮，如有其余评委已提交，但需要修改时，可在此页面操作退回。点击右上方下拉框，选择需要退回的评委名称，点击【退回重评】按钮。</w:t>
      </w:r>
    </w:p>
    <w:p w14:paraId="193AF60E">
      <w:pPr>
        <w:rPr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7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C3673">
      <w:pPr>
        <w:pBdr>
          <w:bottom w:val="none" w:color="auto" w:sz="0" w:space="0"/>
        </w:pBd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2、当所有评委都提交后，评委组长点击【评审汇总】按钮，此项页面将按评委展示汇总结果。</w:t>
      </w:r>
    </w:p>
    <w:p w14:paraId="7B6DF4B1">
      <w:pPr>
        <w:rPr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7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65963">
      <w:pPr>
        <w:rPr>
          <w:lang w:val="en-US" w:eastAsia="zh-CN"/>
        </w:rPr>
      </w:pPr>
    </w:p>
    <w:p w14:paraId="404608CD">
      <w:pPr>
        <w:pStyle w:val="3"/>
        <w:pBdr>
          <w:bottom w:val="none" w:color="auto" w:sz="0" w:space="0"/>
        </w:pBdr>
        <w:rPr>
          <w:rFonts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9</w:t>
      </w:r>
      <w:r>
        <w:rPr>
          <w:rFonts w:ascii="思源宋体 CN" w:hAnsi="思源宋体 CN" w:eastAsia="思源宋体 CN" w:cs="思源宋体 CN"/>
          <w:lang w:val="en-US" w:eastAsia="zh-CN"/>
        </w:rPr>
        <w:t xml:space="preserve"> 评标结果</w:t>
      </w:r>
    </w:p>
    <w:p w14:paraId="13B21F16">
      <w:pPr>
        <w:pStyle w:val="4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9</w:t>
      </w:r>
      <w:r>
        <w:rPr>
          <w:rFonts w:ascii="思源宋体 CN" w:hAnsi="思源宋体 CN" w:eastAsia="思源宋体 CN" w:cs="思源宋体 CN"/>
        </w:rPr>
        <w:t>.1 最终排名</w:t>
      </w:r>
    </w:p>
    <w:p w14:paraId="7AAC4CCC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1、【评标结果】-【最终排名】，由组长点击【汇总排名】按钮，提示“汇总排名成功！”即可。</w:t>
      </w:r>
    </w:p>
    <w:p w14:paraId="5B14E19F">
      <w:pPr>
        <w:spacing w:before="0" w:after="0" w:line="360" w:lineRule="auto"/>
        <w:ind w:firstLineChars="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7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40862">
      <w:pPr>
        <w:spacing w:before="0" w:after="0" w:line="360" w:lineRule="auto"/>
        <w:ind w:firstLineChars="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7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3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D62A3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2、汇总排名成功后，页面将展示所有通过评审的单位，由组长在页面右侧挑选中标候选人（组长可任意挑选任何单位为候选人单位，请谨慎挑选。），挑选完成后，点击右上角【保存中标候选人】按钮。</w:t>
      </w:r>
    </w:p>
    <w:p w14:paraId="25A86D36">
      <w:pPr>
        <w:spacing w:before="0" w:after="0" w:line="360" w:lineRule="auto"/>
        <w:ind w:firstLineChars="0"/>
      </w:pPr>
      <w:r>
        <w:drawing>
          <wp:inline distT="0" distB="0" distL="114300" distR="114300">
            <wp:extent cx="8279765" cy="4042410"/>
            <wp:effectExtent l="0" t="0" r="635" b="8890"/>
            <wp:docPr id="7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3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44DE2">
      <w:pPr>
        <w:spacing w:before="0" w:after="0" w:line="360" w:lineRule="auto"/>
        <w:ind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8279765" cy="4042410"/>
            <wp:effectExtent l="0" t="0" r="635" b="8890"/>
            <wp:docPr id="8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3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EECB8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3、点击【确认】按钮，提示“确认最终排名成功！”即可。</w:t>
      </w:r>
    </w:p>
    <w:p w14:paraId="48ABE0A0">
      <w:r>
        <w:drawing>
          <wp:inline distT="0" distB="0" distL="114300" distR="114300">
            <wp:extent cx="8279765" cy="4042410"/>
            <wp:effectExtent l="0" t="0" r="635" b="8890"/>
            <wp:docPr id="8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3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E34D8">
      <w:r>
        <w:drawing>
          <wp:inline distT="0" distB="0" distL="114300" distR="114300">
            <wp:extent cx="8279765" cy="4042410"/>
            <wp:effectExtent l="0" t="0" r="635" b="8890"/>
            <wp:docPr id="8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4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9310B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4、点击【查看】按钮，可查看各环节打分详情。</w:t>
      </w:r>
    </w:p>
    <w:p w14:paraId="53573EB4">
      <w:r>
        <w:drawing>
          <wp:inline distT="0" distB="0" distL="114300" distR="114300">
            <wp:extent cx="8279765" cy="4042410"/>
            <wp:effectExtent l="0" t="0" r="635" b="8890"/>
            <wp:docPr id="8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2B8CE">
      <w:pPr>
        <w:pStyle w:val="4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9</w:t>
      </w:r>
      <w:r>
        <w:rPr>
          <w:rFonts w:ascii="思源宋体 CN" w:hAnsi="思源宋体 CN" w:eastAsia="思源宋体 CN" w:cs="思源宋体 CN"/>
        </w:rPr>
        <w:t>.2 评标报告</w:t>
      </w:r>
    </w:p>
    <w:p w14:paraId="65952498">
      <w:pPr>
        <w:snapToGrid/>
        <w:spacing w:before="0" w:after="0" w:line="240" w:lineRule="auto"/>
        <w:ind w:left="0" w:right="0"/>
        <w:jc w:val="both"/>
        <w:rPr>
          <w:rFonts w:ascii="仿宋" w:hAnsi="仿宋" w:eastAsia="仿宋" w:cs="仿宋"/>
          <w:i w:val="0"/>
          <w:strike w:val="0"/>
          <w:color w:val="000000"/>
          <w:sz w:val="28"/>
          <w:u w:val="none"/>
        </w:rPr>
      </w:pPr>
      <w:r>
        <w:rPr>
          <w:rFonts w:ascii="仿宋" w:hAnsi="仿宋" w:eastAsia="仿宋" w:cs="仿宋"/>
          <w:i w:val="0"/>
          <w:strike w:val="0"/>
          <w:color w:val="000000"/>
          <w:sz w:val="28"/>
          <w:u w:val="none"/>
        </w:rPr>
        <w:t>1、评委点击【评标报告编辑】，编辑评标报告内容，编辑完成后点击【提交】按钮。</w:t>
      </w:r>
    </w:p>
    <w:p w14:paraId="048F2C38"/>
    <w:p w14:paraId="2F2F98C4"/>
    <w:p w14:paraId="1CFD070A">
      <w:pPr>
        <w:pStyle w:val="4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9</w:t>
      </w:r>
      <w:r>
        <w:rPr>
          <w:rFonts w:ascii="思源宋体 CN" w:hAnsi="思源宋体 CN" w:eastAsia="思源宋体 CN" w:cs="思源宋体 CN"/>
        </w:rPr>
        <w:t>.3 评委签章</w:t>
      </w:r>
    </w:p>
    <w:p w14:paraId="1F068A3D">
      <w:pPr>
        <w:snapToGrid/>
        <w:spacing w:before="0" w:after="0" w:line="240" w:lineRule="auto"/>
        <w:ind w:left="0" w:right="0"/>
        <w:jc w:val="both"/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</w:t>
      </w:r>
      <w:r>
        <w:rPr>
          <w:rFonts w:ascii="仿宋" w:hAnsi="仿宋" w:eastAsia="仿宋" w:cs="仿宋"/>
          <w:i w:val="0"/>
          <w:strike w:val="0"/>
          <w:color w:val="000000"/>
          <w:sz w:val="28"/>
          <w:u w:val="none"/>
        </w:rPr>
        <w:t>评委点击【批量签章】按钮，</w:t>
      </w:r>
      <w:r>
        <w:rPr>
          <w:rFonts w:hint="eastAsia" w:ascii="仿宋" w:hAnsi="仿宋" w:eastAsia="仿宋" w:cs="仿宋"/>
          <w:i w:val="0"/>
          <w:strike w:val="0"/>
          <w:color w:val="000000"/>
          <w:sz w:val="28"/>
          <w:u w:val="none"/>
          <w:lang w:val="en-US" w:eastAsia="zh-CN"/>
        </w:rPr>
        <w:t>选择签章方式，点击</w:t>
      </w:r>
      <w:r>
        <w:rPr>
          <w:rFonts w:ascii="仿宋" w:hAnsi="仿宋" w:eastAsia="仿宋" w:cs="仿宋"/>
          <w:i w:val="0"/>
          <w:strike w:val="0"/>
          <w:color w:val="000000"/>
          <w:sz w:val="28"/>
          <w:u w:val="none"/>
        </w:rPr>
        <w:t>开始进行</w:t>
      </w:r>
      <w:r>
        <w:rPr>
          <w:rFonts w:hint="eastAsia" w:ascii="仿宋" w:hAnsi="仿宋" w:eastAsia="仿宋" w:cs="仿宋"/>
          <w:i w:val="0"/>
          <w:strike w:val="0"/>
          <w:color w:val="000000"/>
          <w:sz w:val="28"/>
          <w:u w:val="none"/>
          <w:lang w:val="en-US" w:eastAsia="zh-CN"/>
        </w:rPr>
        <w:t>批量</w:t>
      </w:r>
      <w:r>
        <w:rPr>
          <w:rFonts w:ascii="仿宋" w:hAnsi="仿宋" w:eastAsia="仿宋" w:cs="仿宋"/>
          <w:i w:val="0"/>
          <w:strike w:val="0"/>
          <w:color w:val="000000"/>
          <w:sz w:val="28"/>
          <w:u w:val="none"/>
        </w:rPr>
        <w:t>签章。</w:t>
      </w:r>
    </w:p>
    <w:p w14:paraId="44A571C7">
      <w:pPr>
        <w:pBdr>
          <w:bottom w:val="none" w:color="auto" w:sz="0" w:space="0"/>
        </w:pBdr>
        <w:snapToGrid/>
        <w:spacing w:before="0" w:after="0" w:line="240" w:lineRule="auto"/>
        <w:ind w:left="0" w:right="0"/>
        <w:jc w:val="both"/>
      </w:pPr>
    </w:p>
    <w:p w14:paraId="4E7B38B3">
      <w:r>
        <w:drawing>
          <wp:inline distT="0" distB="0" distL="114300" distR="114300">
            <wp:extent cx="8279765" cy="4042410"/>
            <wp:effectExtent l="0" t="0" r="635" b="8890"/>
            <wp:docPr id="8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4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D401C">
      <w:r>
        <w:drawing>
          <wp:inline distT="0" distB="0" distL="114300" distR="114300">
            <wp:extent cx="8279765" cy="4042410"/>
            <wp:effectExtent l="0" t="0" r="635" b="8890"/>
            <wp:docPr id="8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4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59BFA">
      <w:r>
        <w:drawing>
          <wp:inline distT="0" distB="0" distL="114300" distR="114300">
            <wp:extent cx="8279765" cy="4042410"/>
            <wp:effectExtent l="0" t="0" r="635" b="8890"/>
            <wp:docPr id="87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44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2E2C4"/>
    <w:p w14:paraId="4E1F0F1A">
      <w:pPr>
        <w:spacing w:before="0" w:after="0" w:line="360" w:lineRule="auto"/>
        <w:ind w:firstLineChars="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2、签章完成后，评委可点击签章详情进行检查，是否存在未签章的报告。</w:t>
      </w:r>
    </w:p>
    <w:p w14:paraId="4FEA7CA8">
      <w:r>
        <w:drawing>
          <wp:inline distT="0" distB="0" distL="114300" distR="114300">
            <wp:extent cx="8279765" cy="4042410"/>
            <wp:effectExtent l="0" t="0" r="635" b="8890"/>
            <wp:docPr id="8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4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46927">
      <w:r>
        <w:drawing>
          <wp:inline distT="0" distB="0" distL="114300" distR="114300">
            <wp:extent cx="8279765" cy="4042410"/>
            <wp:effectExtent l="0" t="0" r="635" b="8890"/>
            <wp:docPr id="89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4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26F9A">
      <w:pPr>
        <w:pBdr>
          <w:bottom w:val="none" w:color="auto" w:sz="0" w:space="0"/>
        </w:pBdr>
        <w:spacing w:before="0" w:after="0" w:line="360" w:lineRule="auto"/>
        <w:ind w:firstLineChars="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3、如果存在异议，评委可点击“不同意见”，填写异议理由并提交，提交后无需签章。</w:t>
      </w:r>
    </w:p>
    <w:p w14:paraId="3C71399D">
      <w:r>
        <w:drawing>
          <wp:inline distT="0" distB="0" distL="114300" distR="114300">
            <wp:extent cx="8279765" cy="4042410"/>
            <wp:effectExtent l="0" t="0" r="635" b="8890"/>
            <wp:docPr id="9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4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AB579">
      <w:pPr>
        <w:pStyle w:val="4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9</w:t>
      </w:r>
      <w:r>
        <w:rPr>
          <w:rFonts w:ascii="思源宋体 CN" w:hAnsi="思源宋体 CN" w:eastAsia="思源宋体 CN" w:cs="思源宋体 CN"/>
        </w:rPr>
        <w:t>.</w:t>
      </w:r>
      <w:r>
        <w:rPr>
          <w:rFonts w:hint="eastAsia" w:ascii="思源宋体 CN" w:hAnsi="思源宋体 CN" w:eastAsia="思源宋体 CN" w:cs="思源宋体 CN"/>
          <w:lang w:val="en-US" w:eastAsia="zh-CN"/>
        </w:rPr>
        <w:t>4</w:t>
      </w:r>
      <w:r>
        <w:rPr>
          <w:rFonts w:ascii="思源宋体 CN" w:hAnsi="思源宋体 CN" w:eastAsia="思源宋体 CN" w:cs="思源宋体 CN"/>
        </w:rPr>
        <w:t>评标结束</w:t>
      </w:r>
    </w:p>
    <w:p w14:paraId="5F986180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1、【评标结果】-【评标结束】，点击【评标结束】按钮，提示“评标结束成功！”即可。</w:t>
      </w:r>
    </w:p>
    <w:p w14:paraId="37170251">
      <w:pPr>
        <w:snapToGrid/>
        <w:spacing w:line="240" w:lineRule="auto"/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</w:pPr>
      <w:r>
        <w:drawing>
          <wp:inline distT="0" distB="0" distL="114300" distR="114300">
            <wp:extent cx="8279765" cy="4042410"/>
            <wp:effectExtent l="0" t="0" r="635" b="8890"/>
            <wp:docPr id="9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490BD">
      <w:pPr>
        <w:pBdr>
          <w:bottom w:val="none" w:color="auto" w:sz="0" w:space="0"/>
        </w:pBdr>
        <w:snapToGrid/>
        <w:spacing w:line="240" w:lineRule="auto"/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</w:pPr>
      <w:r>
        <w:drawing>
          <wp:inline distT="0" distB="0" distL="114300" distR="114300">
            <wp:extent cx="8279765" cy="4042410"/>
            <wp:effectExtent l="0" t="0" r="635" b="8890"/>
            <wp:docPr id="93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4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39FDA">
      <w:pPr>
        <w:spacing w:before="0" w:after="0" w:line="360" w:lineRule="auto"/>
        <w:ind w:firstLineChars="200"/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</w:pPr>
      <w:r>
        <w:rPr>
          <w:rFonts w:hint="eastAsia" w:ascii="思源宋体 CN" w:hAnsi="思源宋体 CN" w:eastAsia="思源宋体 CN" w:cstheme="minorEastAsia"/>
          <w:sz w:val="28"/>
          <w:szCs w:val="28"/>
          <w:lang w:val="en-US" w:eastAsia="zh-CN"/>
        </w:rPr>
        <w:t>2、评标结束成功后，即可看到评标结束时间及操作人。</w:t>
      </w:r>
    </w:p>
    <w:p w14:paraId="369D0993">
      <w:pPr>
        <w:snapToGrid/>
        <w:spacing w:line="240" w:lineRule="auto"/>
        <w:rPr>
          <w:rFonts w:ascii="思源宋体 CN" w:hAnsi="思源宋体 CN" w:eastAsia="思源宋体 CN" w:cs="思源宋体 CN"/>
          <w:i w:val="0"/>
          <w:strike w:val="0"/>
          <w:spacing w:val="0"/>
          <w:sz w:val="28"/>
          <w:u w:val="none"/>
        </w:rPr>
      </w:pPr>
      <w:r>
        <w:drawing>
          <wp:inline distT="0" distB="0" distL="114300" distR="114300">
            <wp:extent cx="8279765" cy="4042410"/>
            <wp:effectExtent l="0" t="0" r="635" b="8890"/>
            <wp:docPr id="94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5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279765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9784E">
      <w:pPr>
        <w:pBdr>
          <w:bottom w:val="none" w:color="auto" w:sz="0" w:space="0"/>
        </w:pBdr>
        <w:spacing w:line="360" w:lineRule="auto"/>
        <w:ind w:left="0"/>
        <w:jc w:val="both"/>
        <w:rPr>
          <w:rFonts w:ascii="思源宋体 CN" w:hAnsi="思源宋体 CN" w:eastAsia="思源宋体 CN" w:cs="思源宋体 CN"/>
        </w:rPr>
      </w:pPr>
    </w:p>
    <w:sectPr>
      <w:pgSz w:w="16838" w:h="11905" w:orient="landscape"/>
      <w:pgMar w:top="1417" w:right="1361" w:bottom="1417" w:left="1361" w:header="712" w:footer="853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00007A87" w:usb1="80000000" w:usb2="00000008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norHAnsi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minorEastAsia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华文新魏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思源宋体 CN">
    <w:altName w:val="宋体"/>
    <w:panose1 w:val="02020400000000000000"/>
    <w:charset w:val="86"/>
    <w:family w:val="auto"/>
    <w:pitch w:val="default"/>
    <w:sig w:usb0="00000000" w:usb1="00000000" w:usb2="00000016" w:usb3="00000000" w:csb0="60060107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12" w:lineRule="auto"/>
      </w:pPr>
      <w:r>
        <w:separator/>
      </w:r>
    </w:p>
  </w:footnote>
  <w:footnote w:type="continuationSeparator" w:id="1">
    <w:p>
      <w:pPr>
        <w:spacing w:before="0" w:after="0" w:line="312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ED70BEF"/>
    <w:rsid w:val="104E0C1E"/>
    <w:rsid w:val="1752433D"/>
    <w:rsid w:val="208631E0"/>
    <w:rsid w:val="297C49B5"/>
    <w:rsid w:val="2DFF51EF"/>
    <w:rsid w:val="2E2B2C2B"/>
    <w:rsid w:val="31517327"/>
    <w:rsid w:val="39485018"/>
    <w:rsid w:val="42430FAA"/>
    <w:rsid w:val="4D6E5883"/>
    <w:rsid w:val="5AD74EFD"/>
    <w:rsid w:val="5EB42F3B"/>
    <w:rsid w:val="69AC6EAA"/>
    <w:rsid w:val="70FA7D81"/>
    <w:rsid w:val="7D7F57E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nhideWhenUsed="0" w:uiPriority="9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9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napToGrid w:val="0"/>
      <w:spacing w:before="60" w:after="60" w:line="312" w:lineRule="auto"/>
      <w:jc w:val="left"/>
    </w:pPr>
    <w:rPr>
      <w:rFonts w:ascii="minorHAnsi" w:hAnsi="minorHAnsi" w:eastAsia="minorEastAsia" w:cstheme="minorBidi"/>
      <w:color w:val="333333"/>
      <w:kern w:val="2"/>
      <w:sz w:val="22"/>
      <w:szCs w:val="22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3">
    <w:name w:val="heading 2"/>
    <w:basedOn w:val="1"/>
    <w:next w:val="1"/>
    <w:qFormat/>
    <w:uiPriority w:val="9"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paragraph" w:styleId="4">
    <w:name w:val="heading 3"/>
    <w:basedOn w:val="1"/>
    <w:next w:val="1"/>
    <w:link w:val="10"/>
    <w:qFormat/>
    <w:uiPriority w:val="9"/>
    <w:pPr>
      <w:keepNext/>
      <w:keepLines/>
      <w:spacing w:before="0" w:after="0" w:line="408" w:lineRule="auto"/>
      <w:outlineLvl w:val="2"/>
    </w:pPr>
    <w:rPr>
      <w:b/>
      <w:bCs/>
      <w:color w:val="1A1A1A"/>
      <w:sz w:val="28"/>
      <w:szCs w:val="28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(Web)"/>
    <w:basedOn w:val="1"/>
    <w:qFormat/>
    <w:uiPriority w:val="0"/>
    <w:rPr>
      <w:sz w:val="24"/>
    </w:rPr>
  </w:style>
  <w:style w:type="paragraph" w:styleId="6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9">
    <w:name w:val="List Paragraph"/>
    <w:autoRedefine/>
    <w:qFormat/>
    <w:uiPriority w:val="99"/>
    <w:pPr>
      <w:widowControl w:val="0"/>
      <w:snapToGrid w:val="0"/>
      <w:spacing w:before="60" w:after="60" w:line="312" w:lineRule="auto"/>
      <w:ind w:firstLine="420" w:firstLineChars="200"/>
      <w:jc w:val="both"/>
    </w:pPr>
    <w:rPr>
      <w:rFonts w:asciiTheme="minorHAnsi" w:hAnsiTheme="minorHAnsi" w:eastAsiaTheme="minorEastAsia" w:cstheme="minorBidi"/>
      <w:color w:val="333333"/>
      <w:kern w:val="2"/>
      <w:sz w:val="21"/>
      <w:szCs w:val="22"/>
      <w:lang w:val="en-US" w:eastAsia="zh-CN" w:bidi="ar-SA"/>
    </w:rPr>
  </w:style>
  <w:style w:type="character" w:customStyle="1" w:styleId="10">
    <w:name w:val="标题 3 Char"/>
    <w:link w:val="4"/>
    <w:qFormat/>
    <w:uiPriority w:val="9"/>
    <w:rPr>
      <w:b/>
      <w:bCs/>
      <w:color w:val="1A1A1A"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8" Type="http://schemas.openxmlformats.org/officeDocument/2006/relationships/fontTable" Target="fontTable.xml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80</Pages>
  <Words>4213</Words>
  <Characters>4275</Characters>
  <TotalTime>1</TotalTime>
  <ScaleCrop>false</ScaleCrop>
  <LinksUpToDate>false</LinksUpToDate>
  <CharactersWithSpaces>4543</CharactersWithSpaces>
  <Application>WPS Office_12.1.0.24657_F1E327BC-269C-435d-A152-05C5408002CA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2024-12-19T11:51:00Z</dcterms:created>
  <dc:creator>lmy</dc:creator>
  <cp:lastModifiedBy>张文成</cp:lastModifiedBy>
  <dcterms:modified xsi:type="dcterms:W3CDTF">2026-02-09T08:04:15Z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AE9CBB89B48C443B876211E17D92BA89_13</vt:lpwstr>
  </property>
  <property fmtid="{D5CDD505-2E9C-101B-9397-08002B2CF9AE}" pid="4" name="KSOTemplateDocerSaveRecord">
    <vt:lpwstr>eyJoZGlkIjoiYjIwYTU3YTUzNWI1YTAxMGU0MGFjOTBmNTRmMWRiOGMiLCJ1c2VySWQiOiIxNDU4NTc2NDMxIn0=</vt:lpwstr>
  </property>
</Properties>
</file>