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CBAB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新疆维吾尔自治区公共资源交易评标专家</w:t>
      </w:r>
    </w:p>
    <w:p w14:paraId="5BB8335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现场履职情况</w:t>
      </w:r>
      <w:r>
        <w:rPr>
          <w:rFonts w:hint="default" w:ascii="Times New Roman" w:hAnsi="Times New Roman" w:eastAsia="方正小标宋简体" w:cs="Times New Roman"/>
          <w:sz w:val="44"/>
          <w:szCs w:val="44"/>
          <w:highlight w:val="none"/>
        </w:rPr>
        <w:t>评价管理办法</w:t>
      </w:r>
    </w:p>
    <w:p w14:paraId="4373912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征求意见稿</w:t>
      </w:r>
      <w:r>
        <w:rPr>
          <w:rFonts w:hint="eastAsia" w:ascii="楷体" w:hAnsi="楷体" w:eastAsia="楷体" w:cs="楷体"/>
          <w:sz w:val="32"/>
          <w:szCs w:val="32"/>
          <w:highlight w:val="none"/>
          <w:lang w:eastAsia="zh-CN"/>
        </w:rPr>
        <w:t>）</w:t>
      </w:r>
    </w:p>
    <w:p w14:paraId="306B5CF4">
      <w:pPr>
        <w:pStyle w:val="15"/>
        <w:keepNext w:val="0"/>
        <w:keepLines w:val="0"/>
        <w:pageBreakBefore w:val="0"/>
        <w:widowControl w:val="0"/>
        <w:kinsoku/>
        <w:wordWrap/>
        <w:overflowPunct/>
        <w:topLinePunct w:val="0"/>
        <w:autoSpaceDE/>
        <w:autoSpaceDN/>
        <w:bidi w:val="0"/>
        <w:spacing w:after="0" w:line="560" w:lineRule="exact"/>
        <w:ind w:left="0" w:leftChars="0"/>
        <w:jc w:val="center"/>
        <w:textAlignment w:val="auto"/>
        <w:rPr>
          <w:rFonts w:hint="eastAsia" w:ascii="Times New Roman" w:hAnsi="Times New Roman" w:cs="Times New Roman"/>
          <w:highlight w:val="none"/>
          <w:lang w:eastAsia="zh-CN"/>
        </w:rPr>
      </w:pPr>
    </w:p>
    <w:p w14:paraId="158E46D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color w:val="auto"/>
          <w:sz w:val="32"/>
          <w:szCs w:val="32"/>
          <w:highlight w:val="none"/>
        </w:rPr>
      </w:pPr>
      <w:r>
        <w:rPr>
          <w:rFonts w:hint="eastAsia" w:ascii="仿宋" w:hAnsi="仿宋" w:eastAsia="仿宋" w:cs="仿宋"/>
          <w:b/>
          <w:bCs/>
          <w:color w:val="auto"/>
          <w:sz w:val="32"/>
          <w:szCs w:val="32"/>
          <w:highlight w:val="none"/>
        </w:rPr>
        <w:t>第一条</w:t>
      </w:r>
      <w:r>
        <w:rPr>
          <w:rFonts w:hint="eastAsia" w:ascii="仿宋" w:hAnsi="仿宋" w:eastAsia="仿宋" w:cs="仿宋"/>
          <w:b/>
          <w:bCs/>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为规范评标专家评标现场履职行为，建立健全</w:t>
      </w:r>
      <w:r>
        <w:rPr>
          <w:rFonts w:hint="default" w:ascii="Times New Roman" w:hAnsi="Times New Roman" w:eastAsia="仿宋" w:cs="Times New Roman"/>
          <w:color w:val="auto"/>
          <w:sz w:val="32"/>
          <w:szCs w:val="32"/>
          <w:highlight w:val="none"/>
        </w:rPr>
        <w:t>评标专家</w:t>
      </w:r>
      <w:r>
        <w:rPr>
          <w:rFonts w:hint="eastAsia" w:ascii="Times New Roman" w:hAnsi="Times New Roman" w:eastAsia="仿宋" w:cs="Times New Roman"/>
          <w:color w:val="auto"/>
          <w:sz w:val="32"/>
          <w:szCs w:val="32"/>
          <w:highlight w:val="none"/>
          <w:lang w:eastAsia="zh-CN"/>
        </w:rPr>
        <w:t>评价</w:t>
      </w:r>
      <w:r>
        <w:rPr>
          <w:rFonts w:hint="default" w:ascii="Times New Roman" w:hAnsi="Times New Roman" w:eastAsia="仿宋" w:cs="Times New Roman"/>
          <w:color w:val="auto"/>
          <w:sz w:val="32"/>
          <w:szCs w:val="32"/>
          <w:highlight w:val="none"/>
        </w:rPr>
        <w:t>制度</w:t>
      </w:r>
      <w:r>
        <w:rPr>
          <w:rFonts w:hint="eastAsia" w:ascii="Times New Roman" w:hAnsi="Times New Roman" w:eastAsia="仿宋" w:cs="Times New Roman"/>
          <w:color w:val="auto"/>
          <w:sz w:val="32"/>
          <w:szCs w:val="32"/>
          <w:highlight w:val="none"/>
          <w:lang w:val="en-US" w:eastAsia="zh-CN"/>
        </w:rPr>
        <w:t>，督促评标专家严格遵守职业道德，客观、公正履行评标职责，提高评标质量和效率，依据《招标投标法》及其实施条例、《政府采购法》及其实施条例、《自治区公共资源交易管理办法》（新政办发〔2025〕49号）、《自治区综合评标专家和评标专家库管理办法》等法律法规、规范性文件的有关规定，</w:t>
      </w:r>
      <w:r>
        <w:rPr>
          <w:rFonts w:hint="default" w:ascii="Times New Roman" w:hAnsi="Times New Roman" w:eastAsia="仿宋" w:cs="Times New Roman"/>
          <w:color w:val="auto"/>
          <w:sz w:val="32"/>
          <w:szCs w:val="32"/>
          <w:highlight w:val="none"/>
        </w:rPr>
        <w:t>结合我区实际</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制定本办法。</w:t>
      </w:r>
    </w:p>
    <w:p w14:paraId="43E5637E">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bCs/>
          <w:color w:val="auto"/>
          <w:sz w:val="32"/>
          <w:szCs w:val="32"/>
          <w:highlight w:val="none"/>
        </w:rPr>
        <w:t>第二条</w:t>
      </w:r>
      <w:r>
        <w:rPr>
          <w:rFonts w:hint="eastAsia" w:ascii="仿宋" w:hAnsi="仿宋" w:eastAsia="仿宋" w:cs="仿宋"/>
          <w:b/>
          <w:bCs/>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本办法适用于</w:t>
      </w:r>
      <w:r>
        <w:rPr>
          <w:rFonts w:hint="eastAsia" w:ascii="Times New Roman" w:hAnsi="Times New Roman" w:eastAsia="仿宋" w:cs="Times New Roman"/>
          <w:color w:val="auto"/>
          <w:sz w:val="32"/>
          <w:szCs w:val="32"/>
          <w:highlight w:val="none"/>
          <w:lang w:val="en-US" w:eastAsia="zh-CN"/>
        </w:rPr>
        <w:t>从</w:t>
      </w:r>
      <w:r>
        <w:rPr>
          <w:rFonts w:hint="default" w:ascii="Times New Roman" w:hAnsi="Times New Roman" w:eastAsia="仿宋" w:cs="Times New Roman"/>
          <w:bCs/>
          <w:color w:val="auto"/>
          <w:spacing w:val="-6"/>
          <w:kern w:val="0"/>
          <w:sz w:val="32"/>
          <w:szCs w:val="32"/>
          <w:highlight w:val="none"/>
          <w:lang w:bidi="ar"/>
        </w:rPr>
        <w:t>自</w:t>
      </w:r>
      <w:r>
        <w:rPr>
          <w:rFonts w:hint="default" w:ascii="Times New Roman" w:hAnsi="Times New Roman" w:eastAsia="仿宋" w:cs="Times New Roman"/>
          <w:color w:val="auto"/>
          <w:sz w:val="32"/>
          <w:szCs w:val="32"/>
          <w:highlight w:val="none"/>
        </w:rPr>
        <w:t>治区综合评标专家库</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政府采购专家库抽取</w:t>
      </w:r>
      <w:r>
        <w:rPr>
          <w:rFonts w:hint="default" w:ascii="Times New Roman" w:hAnsi="Times New Roman" w:eastAsia="仿宋" w:cs="Times New Roman"/>
          <w:color w:val="auto"/>
          <w:sz w:val="32"/>
          <w:szCs w:val="32"/>
          <w:highlight w:val="none"/>
        </w:rPr>
        <w:t>的评标专家</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项目发起方</w:t>
      </w:r>
      <w:r>
        <w:rPr>
          <w:rFonts w:hint="default" w:ascii="Times New Roman" w:hAnsi="Times New Roman" w:eastAsia="仿宋" w:cs="Times New Roman"/>
          <w:color w:val="auto"/>
          <w:sz w:val="32"/>
          <w:szCs w:val="32"/>
          <w:highlight w:val="none"/>
        </w:rPr>
        <w:t>代表</w:t>
      </w:r>
      <w:r>
        <w:rPr>
          <w:rFonts w:hint="eastAsia" w:ascii="Times New Roman" w:hAnsi="Times New Roman" w:eastAsia="仿宋" w:cs="Times New Roman"/>
          <w:color w:val="auto"/>
          <w:sz w:val="32"/>
          <w:szCs w:val="32"/>
          <w:highlight w:val="none"/>
          <w:lang w:val="en-US" w:eastAsia="zh-CN"/>
        </w:rPr>
        <w:t>以及依法以其他方式确定的专家</w:t>
      </w:r>
      <w:r>
        <w:rPr>
          <w:rFonts w:hint="default" w:ascii="Times New Roman" w:hAnsi="Times New Roman" w:eastAsia="仿宋" w:cs="Times New Roman"/>
          <w:color w:val="auto"/>
          <w:sz w:val="32"/>
          <w:szCs w:val="32"/>
          <w:highlight w:val="none"/>
        </w:rPr>
        <w:t>（以下统称</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专家</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，并进入</w:t>
      </w:r>
      <w:r>
        <w:rPr>
          <w:rFonts w:hint="eastAsia" w:ascii="Times New Roman" w:hAnsi="Times New Roman" w:eastAsia="仿宋" w:cs="Times New Roman"/>
          <w:color w:val="auto"/>
          <w:sz w:val="32"/>
          <w:szCs w:val="32"/>
          <w:highlight w:val="none"/>
          <w:lang w:val="en-US" w:eastAsia="zh-CN"/>
        </w:rPr>
        <w:t>自治区各级公共</w:t>
      </w:r>
      <w:r>
        <w:rPr>
          <w:rFonts w:hint="default" w:ascii="Times New Roman" w:hAnsi="Times New Roman" w:eastAsia="仿宋" w:cs="Times New Roman"/>
          <w:color w:val="auto"/>
          <w:sz w:val="32"/>
          <w:szCs w:val="32"/>
          <w:highlight w:val="none"/>
        </w:rPr>
        <w:t>资源交易</w:t>
      </w:r>
      <w:r>
        <w:rPr>
          <w:rFonts w:hint="eastAsia" w:ascii="Times New Roman" w:hAnsi="Times New Roman" w:eastAsia="仿宋" w:cs="Times New Roman"/>
          <w:color w:val="auto"/>
          <w:sz w:val="32"/>
          <w:szCs w:val="32"/>
          <w:highlight w:val="none"/>
          <w:lang w:val="en-US" w:eastAsia="zh-CN"/>
        </w:rPr>
        <w:t>中心</w:t>
      </w:r>
      <w:r>
        <w:rPr>
          <w:rFonts w:hint="default" w:ascii="Times New Roman" w:hAnsi="Times New Roman" w:eastAsia="仿宋" w:cs="Times New Roman"/>
          <w:color w:val="auto"/>
          <w:sz w:val="32"/>
          <w:szCs w:val="32"/>
          <w:highlight w:val="none"/>
        </w:rPr>
        <w:t>（以下简称</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交易</w:t>
      </w:r>
      <w:r>
        <w:rPr>
          <w:rFonts w:hint="eastAsia" w:ascii="Times New Roman" w:hAnsi="Times New Roman" w:eastAsia="仿宋" w:cs="Times New Roman"/>
          <w:color w:val="auto"/>
          <w:sz w:val="32"/>
          <w:szCs w:val="32"/>
          <w:highlight w:val="none"/>
          <w:lang w:val="en-US" w:eastAsia="zh-CN"/>
        </w:rPr>
        <w:t>中心</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，在参加资格审查、评标评审、专家论证</w:t>
      </w:r>
      <w:r>
        <w:rPr>
          <w:rFonts w:hint="eastAsia" w:ascii="Times New Roman" w:hAnsi="Times New Roman" w:eastAsia="仿宋" w:cs="Times New Roman"/>
          <w:color w:val="auto"/>
          <w:sz w:val="32"/>
          <w:szCs w:val="32"/>
          <w:highlight w:val="none"/>
          <w:lang w:val="en-US" w:eastAsia="zh-CN"/>
        </w:rPr>
        <w:t>以及协助处理质疑（异议）</w:t>
      </w:r>
      <w:r>
        <w:rPr>
          <w:rFonts w:hint="default" w:ascii="Times New Roman" w:hAnsi="Times New Roman" w:eastAsia="仿宋" w:cs="Times New Roman"/>
          <w:color w:val="auto"/>
          <w:sz w:val="32"/>
          <w:szCs w:val="32"/>
          <w:highlight w:val="none"/>
        </w:rPr>
        <w:t>等</w:t>
      </w:r>
      <w:r>
        <w:rPr>
          <w:rFonts w:hint="eastAsia" w:ascii="Times New Roman" w:hAnsi="Times New Roman" w:eastAsia="仿宋" w:cs="Times New Roman"/>
          <w:color w:val="auto"/>
          <w:sz w:val="32"/>
          <w:szCs w:val="32"/>
          <w:highlight w:val="none"/>
          <w:lang w:eastAsia="zh-CN"/>
        </w:rPr>
        <w:t>交易现场履职</w:t>
      </w:r>
      <w:r>
        <w:rPr>
          <w:rFonts w:hint="eastAsia" w:ascii="Times New Roman" w:hAnsi="Times New Roman" w:eastAsia="仿宋" w:cs="Times New Roman"/>
          <w:color w:val="auto"/>
          <w:sz w:val="32"/>
          <w:szCs w:val="32"/>
          <w:highlight w:val="none"/>
          <w:lang w:val="en-US" w:eastAsia="zh-CN"/>
        </w:rPr>
        <w:t>情况的</w:t>
      </w:r>
      <w:r>
        <w:rPr>
          <w:rFonts w:hint="eastAsia" w:ascii="Times New Roman" w:hAnsi="Times New Roman" w:eastAsia="仿宋" w:cs="Times New Roman"/>
          <w:color w:val="auto"/>
          <w:sz w:val="32"/>
          <w:szCs w:val="32"/>
          <w:highlight w:val="none"/>
          <w:lang w:eastAsia="zh-CN"/>
        </w:rPr>
        <w:t>评价</w:t>
      </w:r>
      <w:r>
        <w:rPr>
          <w:rFonts w:hint="default" w:ascii="Times New Roman" w:hAnsi="Times New Roman" w:eastAsia="仿宋" w:cs="Times New Roman"/>
          <w:color w:val="auto"/>
          <w:sz w:val="32"/>
          <w:szCs w:val="32"/>
          <w:highlight w:val="none"/>
        </w:rPr>
        <w:t>管理。</w:t>
      </w:r>
    </w:p>
    <w:p w14:paraId="749507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bCs/>
          <w:color w:val="auto"/>
          <w:sz w:val="32"/>
          <w:szCs w:val="32"/>
          <w:highlight w:val="none"/>
        </w:rPr>
        <w:t>第三条</w:t>
      </w:r>
      <w:r>
        <w:rPr>
          <w:rFonts w:hint="eastAsia" w:ascii="仿宋" w:hAnsi="仿宋" w:eastAsia="仿宋" w:cs="仿宋"/>
          <w:b/>
          <w:bCs/>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专家</w:t>
      </w:r>
      <w:r>
        <w:rPr>
          <w:rFonts w:hint="eastAsia" w:ascii="Times New Roman" w:hAnsi="Times New Roman" w:eastAsia="仿宋" w:cs="Times New Roman"/>
          <w:color w:val="auto"/>
          <w:sz w:val="32"/>
          <w:szCs w:val="32"/>
          <w:highlight w:val="none"/>
          <w:lang w:eastAsia="zh-CN"/>
        </w:rPr>
        <w:t>评价</w:t>
      </w:r>
      <w:r>
        <w:rPr>
          <w:rFonts w:hint="default" w:ascii="Times New Roman" w:hAnsi="Times New Roman" w:eastAsia="仿宋" w:cs="Times New Roman"/>
          <w:color w:val="auto"/>
          <w:sz w:val="32"/>
          <w:szCs w:val="32"/>
          <w:highlight w:val="none"/>
        </w:rPr>
        <w:t>工作</w:t>
      </w:r>
      <w:r>
        <w:rPr>
          <w:rFonts w:hint="eastAsia" w:ascii="Times New Roman" w:hAnsi="Times New Roman" w:eastAsia="仿宋" w:cs="Times New Roman"/>
          <w:color w:val="auto"/>
          <w:sz w:val="32"/>
          <w:szCs w:val="32"/>
          <w:highlight w:val="none"/>
          <w:lang w:val="en-US" w:eastAsia="zh-CN"/>
        </w:rPr>
        <w:t>应当</w:t>
      </w:r>
      <w:r>
        <w:rPr>
          <w:rFonts w:hint="default" w:ascii="Times New Roman" w:hAnsi="Times New Roman" w:eastAsia="仿宋" w:cs="Times New Roman"/>
          <w:color w:val="auto"/>
          <w:sz w:val="32"/>
          <w:szCs w:val="32"/>
          <w:highlight w:val="none"/>
        </w:rPr>
        <w:t>坚持依法、客观、公正、公开的原则</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按照</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一标一评</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和</w:t>
      </w:r>
      <w:r>
        <w:rPr>
          <w:rFonts w:hint="eastAsia" w:ascii="Times New Roman" w:hAnsi="Times New Roman" w:eastAsia="仿宋" w:cs="Times New Roman"/>
          <w:color w:val="auto"/>
          <w:sz w:val="32"/>
          <w:szCs w:val="32"/>
          <w:highlight w:val="none"/>
          <w:lang w:val="en-US" w:eastAsia="zh-CN"/>
        </w:rPr>
        <w:t>行政</w:t>
      </w:r>
      <w:r>
        <w:rPr>
          <w:rFonts w:hint="eastAsia" w:ascii="Times New Roman" w:hAnsi="Times New Roman" w:eastAsia="仿宋" w:cs="Times New Roman"/>
          <w:color w:val="auto"/>
          <w:sz w:val="32"/>
          <w:szCs w:val="32"/>
          <w:highlight w:val="none"/>
          <w:lang w:eastAsia="zh-CN"/>
        </w:rPr>
        <w:t>监督管理部门</w:t>
      </w:r>
      <w:r>
        <w:rPr>
          <w:rFonts w:hint="default" w:ascii="Times New Roman" w:hAnsi="Times New Roman" w:eastAsia="仿宋" w:cs="Times New Roman"/>
          <w:color w:val="auto"/>
          <w:sz w:val="32"/>
          <w:szCs w:val="32"/>
          <w:highlight w:val="none"/>
        </w:rPr>
        <w:t>相关规定</w:t>
      </w:r>
      <w:r>
        <w:rPr>
          <w:rFonts w:hint="eastAsia" w:ascii="Times New Roman" w:hAnsi="Times New Roman" w:eastAsia="仿宋" w:cs="Times New Roman"/>
          <w:color w:val="auto"/>
          <w:sz w:val="32"/>
          <w:szCs w:val="32"/>
          <w:highlight w:val="none"/>
          <w:lang w:eastAsia="zh-CN"/>
        </w:rPr>
        <w:t>评价</w:t>
      </w:r>
      <w:r>
        <w:rPr>
          <w:rFonts w:hint="default" w:ascii="Times New Roman" w:hAnsi="Times New Roman" w:eastAsia="仿宋" w:cs="Times New Roman"/>
          <w:color w:val="auto"/>
          <w:sz w:val="32"/>
          <w:szCs w:val="32"/>
          <w:highlight w:val="none"/>
        </w:rPr>
        <w:t>相结合</w:t>
      </w:r>
      <w:r>
        <w:rPr>
          <w:rFonts w:hint="eastAsia" w:ascii="Times New Roman" w:hAnsi="Times New Roman"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rPr>
        <w:t>方式开展。</w:t>
      </w:r>
    </w:p>
    <w:p w14:paraId="5C47AC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本办法所称</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一标一评</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是指进入</w:t>
      </w:r>
      <w:r>
        <w:rPr>
          <w:rFonts w:hint="eastAsia" w:ascii="Times New Roman" w:hAnsi="Times New Roman" w:eastAsia="仿宋" w:cs="Times New Roman"/>
          <w:color w:val="auto"/>
          <w:sz w:val="32"/>
          <w:szCs w:val="32"/>
          <w:highlight w:val="none"/>
          <w:lang w:eastAsia="zh-CN"/>
        </w:rPr>
        <w:t>交易中心</w:t>
      </w:r>
      <w:r>
        <w:rPr>
          <w:rFonts w:hint="default" w:ascii="Times New Roman" w:hAnsi="Times New Roman" w:eastAsia="仿宋" w:cs="Times New Roman"/>
          <w:color w:val="auto"/>
          <w:sz w:val="32"/>
          <w:szCs w:val="32"/>
          <w:highlight w:val="none"/>
        </w:rPr>
        <w:t>交易的公共</w:t>
      </w:r>
      <w:r>
        <w:rPr>
          <w:rFonts w:hint="eastAsia" w:ascii="Times New Roman" w:hAnsi="Times New Roman" w:eastAsia="仿宋" w:cs="Times New Roman"/>
          <w:color w:val="auto"/>
          <w:sz w:val="32"/>
          <w:szCs w:val="32"/>
          <w:highlight w:val="none"/>
          <w:lang w:eastAsia="zh-CN"/>
        </w:rPr>
        <w:t>资源</w:t>
      </w:r>
      <w:r>
        <w:rPr>
          <w:rFonts w:hint="default" w:ascii="Times New Roman" w:hAnsi="Times New Roman" w:eastAsia="仿宋" w:cs="Times New Roman"/>
          <w:color w:val="auto"/>
          <w:sz w:val="32"/>
          <w:szCs w:val="32"/>
          <w:highlight w:val="none"/>
        </w:rPr>
        <w:t>项目在完成评标活动后</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项目发起方</w:t>
      </w:r>
      <w:r>
        <w:rPr>
          <w:rFonts w:hint="eastAsia" w:ascii="Times New Roman" w:hAnsi="Times New Roman" w:eastAsia="仿宋" w:cs="Times New Roman"/>
          <w:color w:val="auto"/>
          <w:sz w:val="32"/>
          <w:szCs w:val="32"/>
          <w:highlight w:val="none"/>
          <w:lang w:eastAsia="zh-CN"/>
        </w:rPr>
        <w:t>、交易中心</w:t>
      </w:r>
      <w:r>
        <w:rPr>
          <w:rFonts w:hint="eastAsia" w:ascii="Times New Roman" w:hAnsi="Times New Roman" w:eastAsia="仿宋" w:cs="Times New Roman"/>
          <w:color w:val="auto"/>
          <w:sz w:val="32"/>
          <w:szCs w:val="32"/>
          <w:highlight w:val="none"/>
          <w:lang w:val="en-US" w:eastAsia="zh-CN"/>
        </w:rPr>
        <w:t>以及依据职责履行评价职能</w:t>
      </w:r>
      <w:r>
        <w:rPr>
          <w:rFonts w:hint="eastAsia" w:ascii="Times New Roman" w:hAnsi="Times New Roman" w:eastAsia="仿宋" w:cs="Times New Roman"/>
          <w:color w:val="auto"/>
          <w:sz w:val="32"/>
          <w:szCs w:val="32"/>
          <w:highlight w:val="none"/>
          <w:lang w:val="en-US" w:eastAsia="zh-CN"/>
        </w:rPr>
        <w:t>的</w:t>
      </w:r>
      <w:r>
        <w:rPr>
          <w:rFonts w:hint="eastAsia" w:ascii="Times New Roman" w:hAnsi="Times New Roman" w:eastAsia="仿宋" w:cs="Times New Roman"/>
          <w:color w:val="auto"/>
          <w:sz w:val="32"/>
          <w:szCs w:val="32"/>
          <w:highlight w:val="none"/>
          <w:lang w:eastAsia="zh-CN"/>
        </w:rPr>
        <w:t>行政监督管理部门作为评价主体对评标专家的现场履职</w:t>
      </w:r>
      <w:r>
        <w:rPr>
          <w:rFonts w:hint="eastAsia" w:ascii="Times New Roman" w:hAnsi="Times New Roman" w:eastAsia="仿宋" w:cs="Times New Roman"/>
          <w:color w:val="auto"/>
          <w:sz w:val="32"/>
          <w:szCs w:val="32"/>
          <w:highlight w:val="none"/>
          <w:lang w:val="en-US" w:eastAsia="zh-CN"/>
        </w:rPr>
        <w:t>情况</w:t>
      </w:r>
      <w:r>
        <w:rPr>
          <w:rFonts w:hint="eastAsia" w:ascii="Times New Roman" w:hAnsi="Times New Roman" w:eastAsia="仿宋" w:cs="Times New Roman"/>
          <w:color w:val="auto"/>
          <w:sz w:val="32"/>
          <w:szCs w:val="32"/>
          <w:highlight w:val="none"/>
          <w:lang w:eastAsia="zh-CN"/>
        </w:rPr>
        <w:t>进行评价。</w:t>
      </w:r>
    </w:p>
    <w:p w14:paraId="597A4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四</w:t>
      </w:r>
      <w:r>
        <w:rPr>
          <w:rFonts w:hint="default" w:ascii="仿宋" w:hAnsi="仿宋" w:eastAsia="仿宋" w:cs="仿宋"/>
          <w:b/>
          <w:bCs/>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eastAsia="zh-CN"/>
        </w:rPr>
        <w:t>现场履职评价</w:t>
      </w:r>
      <w:r>
        <w:rPr>
          <w:rFonts w:hint="default" w:ascii="Times New Roman" w:hAnsi="Times New Roman" w:eastAsia="仿宋" w:cs="Times New Roman"/>
          <w:bCs/>
          <w:color w:val="auto"/>
          <w:spacing w:val="0"/>
          <w:kern w:val="0"/>
          <w:sz w:val="32"/>
          <w:szCs w:val="32"/>
          <w:highlight w:val="none"/>
          <w:lang w:val="en-US" w:eastAsia="zh-CN" w:bidi="ar"/>
        </w:rPr>
        <w:t>实行</w:t>
      </w:r>
      <w:r>
        <w:rPr>
          <w:rFonts w:hint="eastAsia" w:ascii="Times New Roman" w:hAnsi="Times New Roman" w:eastAsia="仿宋" w:cs="Times New Roman"/>
          <w:bCs/>
          <w:color w:val="auto"/>
          <w:spacing w:val="0"/>
          <w:kern w:val="0"/>
          <w:sz w:val="32"/>
          <w:szCs w:val="32"/>
          <w:highlight w:val="none"/>
          <w:lang w:val="en-US" w:eastAsia="zh-CN" w:bidi="ar"/>
        </w:rPr>
        <w:t>不良</w:t>
      </w:r>
      <w:r>
        <w:rPr>
          <w:rFonts w:hint="default" w:ascii="Times New Roman" w:hAnsi="Times New Roman" w:eastAsia="仿宋" w:cs="Times New Roman"/>
          <w:bCs/>
          <w:color w:val="auto"/>
          <w:spacing w:val="0"/>
          <w:kern w:val="0"/>
          <w:sz w:val="32"/>
          <w:szCs w:val="32"/>
          <w:highlight w:val="none"/>
          <w:lang w:val="en-US" w:eastAsia="zh-CN" w:bidi="ar"/>
        </w:rPr>
        <w:t>行为扣分的计分</w:t>
      </w:r>
      <w:r>
        <w:rPr>
          <w:rFonts w:hint="eastAsia" w:ascii="Times New Roman" w:hAnsi="Times New Roman" w:eastAsia="仿宋" w:cs="Times New Roman"/>
          <w:bCs/>
          <w:color w:val="auto"/>
          <w:spacing w:val="0"/>
          <w:kern w:val="0"/>
          <w:sz w:val="32"/>
          <w:szCs w:val="32"/>
          <w:highlight w:val="none"/>
          <w:lang w:val="en-US" w:eastAsia="zh-CN" w:bidi="ar"/>
        </w:rPr>
        <w:t>评价</w:t>
      </w:r>
      <w:r>
        <w:rPr>
          <w:rFonts w:hint="default" w:ascii="Times New Roman" w:hAnsi="Times New Roman" w:eastAsia="仿宋" w:cs="Times New Roman"/>
          <w:bCs/>
          <w:color w:val="auto"/>
          <w:spacing w:val="0"/>
          <w:kern w:val="0"/>
          <w:sz w:val="32"/>
          <w:szCs w:val="32"/>
          <w:highlight w:val="none"/>
          <w:lang w:val="en-US" w:eastAsia="zh-CN" w:bidi="ar"/>
        </w:rPr>
        <w:t>制</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不良行为，是指专家违反相关</w:t>
      </w:r>
      <w:r>
        <w:rPr>
          <w:rFonts w:hint="eastAsia" w:ascii="Times New Roman" w:hAnsi="Times New Roman" w:eastAsia="仿宋" w:cs="Times New Roman"/>
          <w:bCs/>
          <w:color w:val="auto"/>
          <w:spacing w:val="0"/>
          <w:kern w:val="0"/>
          <w:sz w:val="32"/>
          <w:szCs w:val="32"/>
          <w:highlight w:val="none"/>
          <w:lang w:val="en-US" w:eastAsia="zh-CN" w:bidi="ar"/>
        </w:rPr>
        <w:t>法律法规</w:t>
      </w:r>
      <w:r>
        <w:rPr>
          <w:rFonts w:hint="default" w:ascii="Times New Roman" w:hAnsi="Times New Roman" w:eastAsia="仿宋" w:cs="Times New Roman"/>
          <w:bCs/>
          <w:color w:val="auto"/>
          <w:spacing w:val="0"/>
          <w:kern w:val="0"/>
          <w:sz w:val="32"/>
          <w:szCs w:val="32"/>
          <w:highlight w:val="none"/>
          <w:lang w:val="en-US" w:eastAsia="zh-CN" w:bidi="ar"/>
        </w:rPr>
        <w:t>、规章和行政规范性文件规定，以及交易场所现场管理要求的行为。</w:t>
      </w:r>
    </w:p>
    <w:p w14:paraId="10662F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 w:cs="Times New Roman"/>
          <w:color w:val="auto"/>
          <w:sz w:val="32"/>
          <w:szCs w:val="32"/>
          <w:highlight w:val="none"/>
          <w:lang w:val="en-US" w:eastAsia="zh-CN"/>
        </w:rPr>
      </w:pPr>
      <w:r>
        <w:rPr>
          <w:rFonts w:hint="default"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五</w:t>
      </w:r>
      <w:r>
        <w:rPr>
          <w:rFonts w:hint="default" w:ascii="仿宋" w:hAnsi="仿宋" w:eastAsia="仿宋" w:cs="仿宋"/>
          <w:b/>
          <w:bCs/>
          <w:color w:val="auto"/>
          <w:sz w:val="32"/>
          <w:szCs w:val="32"/>
          <w:highlight w:val="none"/>
        </w:rPr>
        <w:t>条</w:t>
      </w:r>
      <w:r>
        <w:rPr>
          <w:rFonts w:hint="eastAsia" w:ascii="仿宋" w:hAnsi="仿宋" w:eastAsia="仿宋" w:cs="仿宋"/>
          <w:b/>
          <w:bCs/>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交易中心</w:t>
      </w:r>
      <w:r>
        <w:rPr>
          <w:rFonts w:hint="default" w:ascii="Times New Roman" w:hAnsi="Times New Roman" w:eastAsia="仿宋" w:cs="Times New Roman"/>
          <w:color w:val="auto"/>
          <w:sz w:val="32"/>
          <w:szCs w:val="32"/>
          <w:highlight w:val="none"/>
        </w:rPr>
        <w:t>应当于项目评标结束</w:t>
      </w:r>
      <w:r>
        <w:rPr>
          <w:rFonts w:hint="eastAsia" w:ascii="Times New Roman" w:hAnsi="Times New Roman" w:eastAsia="仿宋" w:cs="Times New Roman"/>
          <w:color w:val="auto"/>
          <w:sz w:val="32"/>
          <w:szCs w:val="32"/>
          <w:highlight w:val="none"/>
          <w:lang w:val="en-US" w:eastAsia="zh-CN"/>
        </w:rPr>
        <w:t>3日内</w:t>
      </w:r>
      <w:r>
        <w:rPr>
          <w:rFonts w:hint="default" w:ascii="Times New Roman" w:hAnsi="Times New Roman" w:eastAsia="仿宋" w:cs="Times New Roman"/>
          <w:color w:val="auto"/>
          <w:sz w:val="32"/>
          <w:szCs w:val="32"/>
          <w:highlight w:val="none"/>
        </w:rPr>
        <w:t>对专家实施</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一标一评</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。各评价主体应按照</w:t>
      </w:r>
      <w:r>
        <w:rPr>
          <w:rFonts w:hint="eastAsia" w:ascii="Times New Roman" w:hAnsi="Times New Roman" w:eastAsia="仿宋" w:cs="Times New Roman"/>
          <w:bCs/>
          <w:color w:val="auto"/>
          <w:spacing w:val="-6"/>
          <w:kern w:val="0"/>
          <w:sz w:val="32"/>
          <w:szCs w:val="32"/>
          <w:highlight w:val="none"/>
          <w:lang w:eastAsia="zh-CN" w:bidi="ar"/>
        </w:rPr>
        <w:t>《</w:t>
      </w:r>
      <w:r>
        <w:rPr>
          <w:rFonts w:hint="eastAsia" w:ascii="Times New Roman" w:hAnsi="Times New Roman" w:eastAsia="仿宋" w:cs="Times New Roman"/>
          <w:color w:val="auto"/>
          <w:sz w:val="32"/>
          <w:szCs w:val="32"/>
          <w:highlight w:val="none"/>
          <w:lang w:eastAsia="zh-CN"/>
        </w:rPr>
        <w:t>自治区公共资源交易评标专家现场</w:t>
      </w:r>
      <w:r>
        <w:rPr>
          <w:rFonts w:hint="eastAsia" w:ascii="Times New Roman" w:hAnsi="Times New Roman" w:eastAsia="仿宋" w:cs="Times New Roman"/>
          <w:color w:val="auto"/>
          <w:sz w:val="32"/>
          <w:szCs w:val="32"/>
          <w:highlight w:val="none"/>
          <w:lang w:val="en-US" w:eastAsia="zh-CN"/>
        </w:rPr>
        <w:t>履职情况</w:t>
      </w:r>
      <w:r>
        <w:rPr>
          <w:rFonts w:hint="eastAsia" w:ascii="Times New Roman" w:hAnsi="Times New Roman" w:eastAsia="仿宋" w:cs="Times New Roman"/>
          <w:color w:val="auto"/>
          <w:sz w:val="32"/>
          <w:szCs w:val="32"/>
          <w:highlight w:val="none"/>
          <w:lang w:eastAsia="zh-CN"/>
        </w:rPr>
        <w:t>评价记录表</w:t>
      </w:r>
      <w:r>
        <w:rPr>
          <w:rFonts w:hint="eastAsia" w:ascii="Times New Roman" w:hAnsi="Times New Roman" w:eastAsia="仿宋" w:cs="Times New Roman"/>
          <w:bCs/>
          <w:color w:val="auto"/>
          <w:spacing w:val="-6"/>
          <w:kern w:val="0"/>
          <w:sz w:val="32"/>
          <w:szCs w:val="32"/>
          <w:highlight w:val="none"/>
          <w:lang w:eastAsia="zh-CN" w:bidi="ar"/>
        </w:rPr>
        <w:t>》</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以下简称《评价记录表》，见附件</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中所列评价内容对专家现场履职行为进行评价，对事实清楚的不良行为信息，扣减相应的分值；需进一步查证核实的，可现场进行查询调查不良事项，专家应做好配合工作。事后调查取证发现存在应当扣分情形的，应当予以扣分。</w:t>
      </w:r>
    </w:p>
    <w:p w14:paraId="70139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对尚不能确定，需报行政监督管理部门进一步核查的不良行为在记录中作出说明，暂不扣分。如相关行政监督管理部门经调查核实存在违法违规行为的，依据处理结果对该专家进行补充评价。</w:t>
      </w:r>
    </w:p>
    <w:p w14:paraId="4C350B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六</w:t>
      </w:r>
      <w:r>
        <w:rPr>
          <w:rFonts w:hint="default" w:ascii="仿宋" w:hAnsi="仿宋" w:eastAsia="仿宋" w:cs="仿宋"/>
          <w:b/>
          <w:bCs/>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专家</w:t>
      </w:r>
      <w:r>
        <w:rPr>
          <w:rFonts w:hint="default" w:ascii="Times New Roman" w:hAnsi="Times New Roman" w:eastAsia="仿宋" w:cs="Times New Roman"/>
          <w:color w:val="auto"/>
          <w:sz w:val="32"/>
          <w:szCs w:val="32"/>
          <w:highlight w:val="none"/>
        </w:rPr>
        <w:t>一次违反多项</w:t>
      </w:r>
      <w:r>
        <w:rPr>
          <w:rFonts w:hint="eastAsia" w:ascii="Times New Roman" w:hAnsi="Times New Roman" w:eastAsia="仿宋" w:cs="Times New Roman"/>
          <w:color w:val="auto"/>
          <w:sz w:val="32"/>
          <w:szCs w:val="32"/>
          <w:highlight w:val="none"/>
          <w:lang w:val="en-US" w:eastAsia="zh-CN"/>
        </w:rPr>
        <w:t>评价</w:t>
      </w:r>
      <w:r>
        <w:rPr>
          <w:rFonts w:hint="default" w:ascii="Times New Roman" w:hAnsi="Times New Roman" w:eastAsia="仿宋" w:cs="Times New Roman"/>
          <w:color w:val="auto"/>
          <w:sz w:val="32"/>
          <w:szCs w:val="32"/>
          <w:highlight w:val="none"/>
        </w:rPr>
        <w:t>标准的，应当同时记录，累计扣分；事后发现应当扣分而未扣分情形的，应当补充记录。多个</w:t>
      </w:r>
      <w:r>
        <w:rPr>
          <w:rFonts w:hint="eastAsia" w:ascii="Times New Roman" w:hAnsi="Times New Roman" w:eastAsia="仿宋" w:cs="Times New Roman"/>
          <w:color w:val="auto"/>
          <w:sz w:val="32"/>
          <w:szCs w:val="32"/>
          <w:highlight w:val="none"/>
          <w:lang w:val="en-US" w:eastAsia="zh-CN"/>
        </w:rPr>
        <w:t>评价</w:t>
      </w:r>
      <w:r>
        <w:rPr>
          <w:rFonts w:hint="default" w:ascii="Times New Roman" w:hAnsi="Times New Roman" w:eastAsia="仿宋" w:cs="Times New Roman"/>
          <w:color w:val="auto"/>
          <w:sz w:val="32"/>
          <w:szCs w:val="32"/>
          <w:highlight w:val="none"/>
        </w:rPr>
        <w:t>主体对同一</w:t>
      </w:r>
      <w:r>
        <w:rPr>
          <w:rFonts w:hint="eastAsia" w:ascii="Times New Roman" w:hAnsi="Times New Roman" w:eastAsia="仿宋" w:cs="Times New Roman"/>
          <w:color w:val="auto"/>
          <w:sz w:val="32"/>
          <w:szCs w:val="32"/>
          <w:highlight w:val="none"/>
          <w:lang w:val="en-US" w:eastAsia="zh-CN"/>
        </w:rPr>
        <w:t>评价</w:t>
      </w:r>
      <w:r>
        <w:rPr>
          <w:rFonts w:hint="default" w:ascii="Times New Roman" w:hAnsi="Times New Roman" w:eastAsia="仿宋" w:cs="Times New Roman"/>
          <w:color w:val="auto"/>
          <w:sz w:val="32"/>
          <w:szCs w:val="32"/>
          <w:highlight w:val="none"/>
        </w:rPr>
        <w:t>事项（条款）均有扣分记录的，在</w:t>
      </w:r>
      <w:r>
        <w:rPr>
          <w:rFonts w:hint="eastAsia" w:ascii="Times New Roman" w:hAnsi="Times New Roman" w:eastAsia="仿宋" w:cs="Times New Roman"/>
          <w:color w:val="auto"/>
          <w:sz w:val="32"/>
          <w:szCs w:val="32"/>
          <w:highlight w:val="none"/>
          <w:lang w:val="en-US" w:eastAsia="zh-CN"/>
        </w:rPr>
        <w:t>评价</w:t>
      </w:r>
      <w:r>
        <w:rPr>
          <w:rFonts w:hint="default" w:ascii="Times New Roman" w:hAnsi="Times New Roman" w:eastAsia="仿宋" w:cs="Times New Roman"/>
          <w:color w:val="auto"/>
          <w:sz w:val="32"/>
          <w:szCs w:val="32"/>
          <w:highlight w:val="none"/>
        </w:rPr>
        <w:t>汇总中只计算一次最高扣分。</w:t>
      </w:r>
    </w:p>
    <w:p w14:paraId="114C0AFE">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自治区综合评标（评审）专家库专家</w:t>
      </w:r>
      <w:r>
        <w:rPr>
          <w:rFonts w:hint="default" w:ascii="Times New Roman" w:hAnsi="Times New Roman" w:eastAsia="仿宋" w:cs="Times New Roman"/>
          <w:color w:val="auto"/>
          <w:kern w:val="2"/>
          <w:sz w:val="32"/>
          <w:szCs w:val="32"/>
          <w:highlight w:val="none"/>
          <w:lang w:val="en-US" w:eastAsia="zh-CN" w:bidi="ar-SA"/>
        </w:rPr>
        <w:t>在不同</w:t>
      </w:r>
      <w:r>
        <w:rPr>
          <w:rFonts w:hint="eastAsia" w:ascii="Times New Roman" w:hAnsi="Times New Roman" w:eastAsia="仿宋" w:cs="Times New Roman"/>
          <w:color w:val="auto"/>
          <w:kern w:val="2"/>
          <w:sz w:val="32"/>
          <w:szCs w:val="32"/>
          <w:highlight w:val="none"/>
          <w:lang w:val="en-US" w:eastAsia="zh-CN" w:bidi="ar-SA"/>
        </w:rPr>
        <w:t>交易中心参加评标评审</w:t>
      </w:r>
      <w:r>
        <w:rPr>
          <w:rFonts w:hint="default" w:ascii="Times New Roman" w:hAnsi="Times New Roman" w:eastAsia="仿宋" w:cs="Times New Roman"/>
          <w:color w:val="auto"/>
          <w:kern w:val="2"/>
          <w:sz w:val="32"/>
          <w:szCs w:val="32"/>
          <w:highlight w:val="none"/>
          <w:lang w:val="en-US" w:eastAsia="zh-CN" w:bidi="ar-SA"/>
        </w:rPr>
        <w:t>活动存在被扣分情形的，</w:t>
      </w:r>
      <w:r>
        <w:rPr>
          <w:rFonts w:hint="eastAsia" w:ascii="Times New Roman" w:hAnsi="Times New Roman" w:eastAsia="仿宋" w:cs="Times New Roman"/>
          <w:color w:val="auto"/>
          <w:kern w:val="2"/>
          <w:sz w:val="32"/>
          <w:szCs w:val="32"/>
          <w:highlight w:val="none"/>
          <w:lang w:val="en-US" w:eastAsia="zh-CN" w:bidi="ar-SA"/>
        </w:rPr>
        <w:t>经各交易中心评价完成后，由</w:t>
      </w:r>
      <w:r>
        <w:rPr>
          <w:rFonts w:hint="default" w:ascii="Times New Roman" w:hAnsi="Times New Roman" w:eastAsia="仿宋" w:cs="Times New Roman"/>
          <w:color w:val="auto"/>
          <w:kern w:val="2"/>
          <w:sz w:val="32"/>
          <w:szCs w:val="32"/>
          <w:highlight w:val="none"/>
          <w:lang w:val="en-US" w:eastAsia="zh-CN" w:bidi="ar-SA"/>
        </w:rPr>
        <w:t>自治区交易中心</w:t>
      </w:r>
      <w:r>
        <w:rPr>
          <w:rFonts w:hint="eastAsia" w:ascii="Times New Roman" w:hAnsi="Times New Roman" w:eastAsia="仿宋" w:cs="Times New Roman"/>
          <w:color w:val="auto"/>
          <w:kern w:val="2"/>
          <w:sz w:val="32"/>
          <w:szCs w:val="32"/>
          <w:highlight w:val="none"/>
          <w:lang w:val="en-US" w:eastAsia="zh-CN" w:bidi="ar-SA"/>
        </w:rPr>
        <w:t>统一归集汇总。</w:t>
      </w:r>
    </w:p>
    <w:p w14:paraId="0C60C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第七条</w:t>
      </w:r>
      <w:r>
        <w:rPr>
          <w:rFonts w:hint="eastAsia" w:ascii="Times New Roman" w:hAnsi="Times New Roman" w:eastAsia="仿宋" w:cs="Times New Roman"/>
          <w:color w:val="auto"/>
          <w:sz w:val="32"/>
          <w:szCs w:val="32"/>
          <w:highlight w:val="none"/>
          <w:lang w:val="en-US" w:eastAsia="zh-CN"/>
        </w:rPr>
        <w:t xml:space="preserve"> 专家在交易活动过程中发生异常行为的，交易中心应根据实际情况组织各评价主体客观公正填写《评价记录表》。具备</w:t>
      </w:r>
      <w:r>
        <w:rPr>
          <w:rFonts w:hint="default" w:ascii="Times New Roman" w:hAnsi="Times New Roman" w:eastAsia="仿宋" w:cs="Times New Roman"/>
          <w:color w:val="auto"/>
          <w:sz w:val="32"/>
          <w:szCs w:val="32"/>
          <w:highlight w:val="none"/>
          <w:lang w:val="en-US" w:eastAsia="zh-CN"/>
        </w:rPr>
        <w:t>电子化考核</w:t>
      </w:r>
      <w:r>
        <w:rPr>
          <w:rFonts w:hint="eastAsia" w:ascii="Times New Roman" w:hAnsi="Times New Roman" w:eastAsia="仿宋" w:cs="Times New Roman"/>
          <w:color w:val="auto"/>
          <w:sz w:val="32"/>
          <w:szCs w:val="32"/>
          <w:highlight w:val="none"/>
          <w:lang w:val="en-US" w:eastAsia="zh-CN"/>
        </w:rPr>
        <w:t>条件</w:t>
      </w:r>
      <w:r>
        <w:rPr>
          <w:rFonts w:hint="default" w:ascii="Times New Roman" w:hAnsi="Times New Roman" w:eastAsia="仿宋" w:cs="Times New Roman"/>
          <w:color w:val="auto"/>
          <w:sz w:val="32"/>
          <w:szCs w:val="32"/>
          <w:highlight w:val="none"/>
          <w:lang w:val="en-US" w:eastAsia="zh-CN"/>
        </w:rPr>
        <w:t>的，</w:t>
      </w:r>
      <w:r>
        <w:rPr>
          <w:rFonts w:hint="eastAsia" w:ascii="Times New Roman" w:hAnsi="Times New Roman" w:eastAsia="仿宋" w:cs="Times New Roman"/>
          <w:color w:val="auto"/>
          <w:sz w:val="32"/>
          <w:szCs w:val="32"/>
          <w:highlight w:val="none"/>
          <w:lang w:val="en-US" w:eastAsia="zh-CN"/>
        </w:rPr>
        <w:t>应当</w:t>
      </w:r>
      <w:r>
        <w:rPr>
          <w:rFonts w:hint="eastAsia" w:ascii="Times New Roman" w:hAnsi="Times New Roman" w:eastAsia="仿宋" w:cs="Times New Roman"/>
          <w:color w:val="auto"/>
          <w:sz w:val="32"/>
          <w:szCs w:val="32"/>
          <w:highlight w:val="none"/>
          <w:lang w:eastAsia="zh-CN"/>
        </w:rPr>
        <w:t>通过</w:t>
      </w:r>
      <w:r>
        <w:rPr>
          <w:rFonts w:hint="eastAsia" w:ascii="Times New Roman" w:hAnsi="Times New Roman" w:eastAsia="仿宋" w:cs="Times New Roman"/>
          <w:color w:val="auto"/>
          <w:sz w:val="32"/>
          <w:szCs w:val="32"/>
          <w:highlight w:val="none"/>
          <w:lang w:val="en-US" w:eastAsia="zh-CN"/>
        </w:rPr>
        <w:t>专家</w:t>
      </w:r>
      <w:r>
        <w:rPr>
          <w:rFonts w:hint="eastAsia" w:ascii="Times New Roman" w:hAnsi="Times New Roman" w:eastAsia="仿宋" w:cs="Times New Roman"/>
          <w:color w:val="auto"/>
          <w:sz w:val="32"/>
          <w:szCs w:val="32"/>
          <w:highlight w:val="none"/>
          <w:lang w:eastAsia="zh-CN"/>
        </w:rPr>
        <w:t>现场履职评价</w:t>
      </w:r>
      <w:r>
        <w:rPr>
          <w:rFonts w:hint="eastAsia" w:ascii="Times New Roman" w:hAnsi="Times New Roman" w:eastAsia="仿宋" w:cs="Times New Roman"/>
          <w:color w:val="auto"/>
          <w:sz w:val="32"/>
          <w:szCs w:val="32"/>
          <w:highlight w:val="none"/>
          <w:lang w:val="en-US" w:eastAsia="zh-CN"/>
        </w:rPr>
        <w:t>系统</w:t>
      </w:r>
      <w:r>
        <w:rPr>
          <w:rFonts w:hint="default" w:ascii="Times New Roman" w:hAnsi="Times New Roman" w:eastAsia="仿宋" w:cs="Times New Roman"/>
          <w:color w:val="auto"/>
          <w:sz w:val="32"/>
          <w:szCs w:val="32"/>
          <w:highlight w:val="none"/>
        </w:rPr>
        <w:t>直接记录</w:t>
      </w:r>
      <w:r>
        <w:rPr>
          <w:rFonts w:hint="eastAsia" w:ascii="Times New Roman" w:hAnsi="Times New Roman" w:eastAsia="仿宋" w:cs="Times New Roman"/>
          <w:color w:val="auto"/>
          <w:sz w:val="32"/>
          <w:szCs w:val="32"/>
          <w:highlight w:val="none"/>
          <w:lang w:eastAsia="zh-CN"/>
        </w:rPr>
        <w:t>评价</w:t>
      </w:r>
      <w:r>
        <w:rPr>
          <w:rFonts w:hint="default" w:ascii="Times New Roman" w:hAnsi="Times New Roman" w:eastAsia="仿宋" w:cs="Times New Roman"/>
          <w:color w:val="auto"/>
          <w:sz w:val="32"/>
          <w:szCs w:val="32"/>
          <w:highlight w:val="none"/>
          <w:lang w:eastAsia="zh-CN"/>
        </w:rPr>
        <w:t>信息</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评价</w:t>
      </w:r>
      <w:r>
        <w:rPr>
          <w:rFonts w:hint="eastAsia" w:ascii="Times New Roman" w:hAnsi="Times New Roman" w:eastAsia="仿宋" w:cs="Times New Roman"/>
          <w:color w:val="auto"/>
          <w:sz w:val="32"/>
          <w:szCs w:val="32"/>
          <w:highlight w:val="none"/>
          <w:lang w:val="en-US" w:eastAsia="zh-CN"/>
        </w:rPr>
        <w:t>结果应同步</w:t>
      </w:r>
      <w:r>
        <w:rPr>
          <w:rFonts w:hint="default" w:ascii="Times New Roman" w:hAnsi="Times New Roman" w:eastAsia="仿宋" w:cs="Times New Roman"/>
          <w:color w:val="auto"/>
          <w:sz w:val="32"/>
          <w:szCs w:val="32"/>
          <w:highlight w:val="none"/>
          <w:lang w:val="en-US" w:eastAsia="zh-CN"/>
        </w:rPr>
        <w:t>推送</w:t>
      </w:r>
      <w:r>
        <w:rPr>
          <w:rFonts w:hint="eastAsia" w:ascii="Times New Roman" w:hAnsi="Times New Roman" w:eastAsia="仿宋" w:cs="Times New Roman"/>
          <w:color w:val="auto"/>
          <w:sz w:val="32"/>
          <w:szCs w:val="32"/>
          <w:highlight w:val="none"/>
          <w:lang w:val="en-US" w:eastAsia="zh-CN"/>
        </w:rPr>
        <w:t>自治区发改委、有关行政监督管理部门和专家</w:t>
      </w:r>
      <w:r>
        <w:rPr>
          <w:rFonts w:hint="default" w:ascii="Times New Roman" w:hAnsi="Times New Roman" w:eastAsia="仿宋" w:cs="Times New Roman"/>
          <w:color w:val="auto"/>
          <w:sz w:val="32"/>
          <w:szCs w:val="32"/>
          <w:highlight w:val="none"/>
          <w:lang w:val="en-US" w:eastAsia="zh-CN"/>
        </w:rPr>
        <w:t>。</w:t>
      </w:r>
    </w:p>
    <w:p w14:paraId="4B59362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交易中心在组织对专家现场履职情况进行评价时，应做好现场视频监控、录音留存等证据固定、保存相关工作。</w:t>
      </w:r>
    </w:p>
    <w:p w14:paraId="5D6B7183">
      <w:pPr>
        <w:pStyle w:val="9"/>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第八条</w:t>
      </w:r>
      <w:r>
        <w:rPr>
          <w:rFonts w:hint="eastAsia" w:ascii="Times New Roman" w:hAnsi="Times New Roman" w:eastAsia="仿宋" w:cs="Times New Roman"/>
          <w:color w:val="auto"/>
          <w:sz w:val="32"/>
          <w:szCs w:val="32"/>
          <w:highlight w:val="none"/>
          <w:lang w:val="en-US" w:eastAsia="zh-CN"/>
        </w:rPr>
        <w:t xml:space="preserve"> 各评价主体发现专家存在不良行为的，应当及时告知交易中心现场管理人员。交易场所现场见证人员应当及时记录。对可以立即纠正的，现场管理人员及有关监督人员应当采取提示、告知、劝阻等措施；对专家拒不改正的，应当提醒和建议项目发起方暂停其评标评审活动，并向行政监督管理部门报告。不良行为涉嫌违法违规的，行政监督管理部门应当依法调查处理。</w:t>
      </w:r>
    </w:p>
    <w:p w14:paraId="252D6C8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color w:val="auto"/>
          <w:kern w:val="2"/>
          <w:sz w:val="32"/>
          <w:szCs w:val="32"/>
          <w:highlight w:val="none"/>
          <w:lang w:val="en-US" w:eastAsia="zh-CN" w:bidi="ar"/>
        </w:rPr>
      </w:pPr>
      <w:r>
        <w:rPr>
          <w:rFonts w:hint="default"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九</w:t>
      </w:r>
      <w:r>
        <w:rPr>
          <w:rFonts w:hint="default" w:ascii="仿宋" w:hAnsi="仿宋" w:eastAsia="仿宋" w:cs="仿宋"/>
          <w:b/>
          <w:bCs/>
          <w:color w:val="auto"/>
          <w:sz w:val="32"/>
          <w:szCs w:val="32"/>
          <w:highlight w:val="none"/>
        </w:rPr>
        <w:t>条</w:t>
      </w:r>
      <w:r>
        <w:rPr>
          <w:rFonts w:hint="default" w:ascii="Times New Roman" w:hAnsi="Times New Roman" w:eastAsia="仿宋" w:cs="Times New Roman"/>
          <w:bCs/>
          <w:color w:val="auto"/>
          <w:spacing w:val="-6"/>
          <w:kern w:val="0"/>
          <w:sz w:val="32"/>
          <w:szCs w:val="32"/>
          <w:highlight w:val="none"/>
          <w:lang w:bidi="ar"/>
        </w:rPr>
        <w:t xml:space="preserve"> </w:t>
      </w:r>
      <w:r>
        <w:rPr>
          <w:rFonts w:hint="default" w:ascii="Times New Roman" w:hAnsi="Times New Roman" w:eastAsia="仿宋" w:cs="Times New Roman"/>
          <w:bCs/>
          <w:color w:val="auto"/>
          <w:spacing w:val="0"/>
          <w:kern w:val="0"/>
          <w:sz w:val="32"/>
          <w:szCs w:val="32"/>
          <w:highlight w:val="none"/>
          <w:lang w:bidi="ar"/>
        </w:rPr>
        <w:t>采取远程异地</w:t>
      </w:r>
      <w:r>
        <w:rPr>
          <w:rFonts w:hint="eastAsia" w:ascii="Times New Roman" w:hAnsi="Times New Roman" w:eastAsia="仿宋" w:cs="Times New Roman"/>
          <w:bCs/>
          <w:color w:val="auto"/>
          <w:spacing w:val="0"/>
          <w:kern w:val="0"/>
          <w:sz w:val="32"/>
          <w:szCs w:val="32"/>
          <w:highlight w:val="none"/>
          <w:lang w:eastAsia="zh-CN" w:bidi="ar"/>
        </w:rPr>
        <w:t>评标评审</w:t>
      </w:r>
      <w:r>
        <w:rPr>
          <w:rFonts w:hint="default" w:ascii="Times New Roman" w:hAnsi="Times New Roman" w:eastAsia="仿宋" w:cs="Times New Roman"/>
          <w:bCs/>
          <w:color w:val="auto"/>
          <w:spacing w:val="0"/>
          <w:kern w:val="0"/>
          <w:sz w:val="32"/>
          <w:szCs w:val="32"/>
          <w:highlight w:val="none"/>
          <w:lang w:bidi="ar"/>
        </w:rPr>
        <w:t>方式的交易项目</w:t>
      </w:r>
      <w:r>
        <w:rPr>
          <w:rFonts w:hint="eastAsia" w:ascii="Times New Roman" w:hAnsi="Times New Roman" w:eastAsia="仿宋" w:cs="Times New Roman"/>
          <w:bCs/>
          <w:color w:val="auto"/>
          <w:spacing w:val="0"/>
          <w:kern w:val="0"/>
          <w:sz w:val="32"/>
          <w:szCs w:val="32"/>
          <w:highlight w:val="none"/>
          <w:lang w:eastAsia="zh-CN" w:bidi="ar"/>
        </w:rPr>
        <w:t>，</w:t>
      </w:r>
      <w:r>
        <w:rPr>
          <w:rFonts w:hint="eastAsia" w:ascii="Times New Roman" w:hAnsi="Times New Roman" w:eastAsia="仿宋" w:cs="Times New Roman"/>
          <w:bCs/>
          <w:color w:val="auto"/>
          <w:spacing w:val="0"/>
          <w:kern w:val="0"/>
          <w:sz w:val="32"/>
          <w:szCs w:val="32"/>
          <w:highlight w:val="none"/>
          <w:lang w:val="en-US" w:eastAsia="zh-CN" w:bidi="ar"/>
        </w:rPr>
        <w:t>使用同一专家库专家的，</w:t>
      </w:r>
      <w:r>
        <w:rPr>
          <w:rFonts w:hint="default" w:ascii="Times New Roman" w:hAnsi="Times New Roman" w:eastAsia="仿宋" w:cs="Times New Roman"/>
          <w:bCs/>
          <w:color w:val="auto"/>
          <w:spacing w:val="0"/>
          <w:kern w:val="0"/>
          <w:sz w:val="32"/>
          <w:szCs w:val="32"/>
          <w:highlight w:val="none"/>
          <w:lang w:bidi="ar"/>
        </w:rPr>
        <w:t>由主场</w:t>
      </w:r>
      <w:r>
        <w:rPr>
          <w:rFonts w:hint="eastAsia" w:ascii="Times New Roman" w:hAnsi="Times New Roman" w:eastAsia="仿宋" w:cs="Times New Roman"/>
          <w:bCs/>
          <w:color w:val="auto"/>
          <w:spacing w:val="0"/>
          <w:kern w:val="0"/>
          <w:sz w:val="32"/>
          <w:szCs w:val="32"/>
          <w:highlight w:val="none"/>
          <w:lang w:eastAsia="zh-CN" w:bidi="ar"/>
        </w:rPr>
        <w:t>交易中心</w:t>
      </w:r>
      <w:r>
        <w:rPr>
          <w:rFonts w:hint="default" w:ascii="Times New Roman" w:hAnsi="Times New Roman" w:eastAsia="仿宋" w:cs="Times New Roman"/>
          <w:bCs/>
          <w:color w:val="auto"/>
          <w:spacing w:val="0"/>
          <w:kern w:val="0"/>
          <w:sz w:val="32"/>
          <w:szCs w:val="32"/>
          <w:highlight w:val="none"/>
          <w:lang w:bidi="ar"/>
        </w:rPr>
        <w:t>按照本办法规定组织评价主体</w:t>
      </w:r>
      <w:r>
        <w:rPr>
          <w:rFonts w:hint="eastAsia" w:ascii="Times New Roman" w:hAnsi="Times New Roman" w:eastAsia="仿宋" w:cs="Times New Roman"/>
          <w:bCs/>
          <w:color w:val="auto"/>
          <w:spacing w:val="0"/>
          <w:kern w:val="0"/>
          <w:sz w:val="32"/>
          <w:szCs w:val="32"/>
          <w:highlight w:val="none"/>
          <w:lang w:val="en-US" w:eastAsia="zh-CN" w:bidi="ar"/>
        </w:rPr>
        <w:t>对专家现场</w:t>
      </w:r>
      <w:r>
        <w:rPr>
          <w:rFonts w:hint="default" w:ascii="Times New Roman" w:hAnsi="Times New Roman" w:eastAsia="仿宋" w:cs="Times New Roman"/>
          <w:bCs/>
          <w:color w:val="auto"/>
          <w:spacing w:val="0"/>
          <w:kern w:val="0"/>
          <w:sz w:val="32"/>
          <w:szCs w:val="32"/>
          <w:highlight w:val="none"/>
          <w:lang w:bidi="ar"/>
        </w:rPr>
        <w:t>履职</w:t>
      </w:r>
      <w:r>
        <w:rPr>
          <w:rFonts w:hint="eastAsia" w:ascii="Times New Roman" w:hAnsi="Times New Roman" w:eastAsia="仿宋" w:cs="Times New Roman"/>
          <w:bCs/>
          <w:color w:val="auto"/>
          <w:spacing w:val="0"/>
          <w:kern w:val="0"/>
          <w:sz w:val="32"/>
          <w:szCs w:val="32"/>
          <w:highlight w:val="none"/>
          <w:lang w:val="en-US" w:eastAsia="zh-CN" w:bidi="ar"/>
        </w:rPr>
        <w:t>情况进行</w:t>
      </w:r>
      <w:r>
        <w:rPr>
          <w:rFonts w:hint="default" w:ascii="Times New Roman" w:hAnsi="Times New Roman" w:eastAsia="仿宋" w:cs="Times New Roman"/>
          <w:bCs/>
          <w:color w:val="auto"/>
          <w:spacing w:val="0"/>
          <w:kern w:val="0"/>
          <w:sz w:val="32"/>
          <w:szCs w:val="32"/>
          <w:highlight w:val="none"/>
          <w:lang w:bidi="ar"/>
        </w:rPr>
        <w:t>评价</w:t>
      </w:r>
      <w:r>
        <w:rPr>
          <w:rFonts w:hint="eastAsia" w:ascii="Times New Roman" w:hAnsi="Times New Roman" w:eastAsia="仿宋" w:cs="Times New Roman"/>
          <w:bCs/>
          <w:color w:val="auto"/>
          <w:spacing w:val="0"/>
          <w:kern w:val="0"/>
          <w:sz w:val="32"/>
          <w:szCs w:val="32"/>
          <w:highlight w:val="none"/>
          <w:lang w:eastAsia="zh-CN" w:bidi="ar"/>
        </w:rPr>
        <w:t>，</w:t>
      </w:r>
      <w:r>
        <w:rPr>
          <w:rFonts w:hint="default" w:ascii="Times New Roman" w:hAnsi="Times New Roman" w:eastAsia="仿宋" w:cs="Times New Roman"/>
          <w:bCs/>
          <w:color w:val="auto"/>
          <w:spacing w:val="0"/>
          <w:kern w:val="0"/>
          <w:sz w:val="32"/>
          <w:szCs w:val="32"/>
          <w:highlight w:val="none"/>
          <w:lang w:bidi="ar"/>
        </w:rPr>
        <w:t>副场</w:t>
      </w:r>
      <w:r>
        <w:rPr>
          <w:rFonts w:hint="eastAsia" w:ascii="Times New Roman" w:hAnsi="Times New Roman" w:eastAsia="仿宋" w:cs="Times New Roman"/>
          <w:color w:val="auto"/>
          <w:kern w:val="2"/>
          <w:sz w:val="32"/>
          <w:szCs w:val="32"/>
          <w:highlight w:val="none"/>
          <w:lang w:val="en-US" w:eastAsia="zh-CN" w:bidi="ar"/>
        </w:rPr>
        <w:t>交易中心</w:t>
      </w:r>
      <w:r>
        <w:rPr>
          <w:rFonts w:hint="default" w:ascii="Times New Roman" w:hAnsi="Times New Roman" w:eastAsia="仿宋" w:cs="Times New Roman"/>
          <w:color w:val="auto"/>
          <w:kern w:val="2"/>
          <w:sz w:val="32"/>
          <w:szCs w:val="32"/>
          <w:highlight w:val="none"/>
          <w:lang w:val="en-US" w:eastAsia="zh-CN" w:bidi="ar"/>
        </w:rPr>
        <w:t>予以配合</w:t>
      </w:r>
      <w:r>
        <w:rPr>
          <w:rFonts w:hint="eastAsia" w:ascii="Times New Roman" w:hAnsi="Times New Roman" w:eastAsia="仿宋" w:cs="Times New Roman"/>
          <w:color w:val="auto"/>
          <w:kern w:val="2"/>
          <w:sz w:val="32"/>
          <w:szCs w:val="32"/>
          <w:highlight w:val="none"/>
          <w:lang w:val="en-US" w:eastAsia="zh-CN" w:bidi="ar"/>
        </w:rPr>
        <w:t>；使用不同专家库专家的，由主副场各自组织评价主体对本地专家现场履职情况进行评价。</w:t>
      </w:r>
    </w:p>
    <w:p w14:paraId="402F047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Times New Roman" w:hAnsi="Times New Roman" w:eastAsia="仿宋" w:cs="Times New Roman"/>
          <w:color w:val="auto"/>
          <w:kern w:val="2"/>
          <w:sz w:val="32"/>
          <w:szCs w:val="32"/>
          <w:highlight w:val="none"/>
          <w:lang w:val="en-US" w:eastAsia="zh-CN" w:bidi="ar"/>
        </w:rPr>
      </w:pPr>
      <w:r>
        <w:rPr>
          <w:rFonts w:hint="default" w:ascii="仿宋" w:hAnsi="仿宋" w:eastAsia="仿宋" w:cs="仿宋"/>
          <w:b/>
          <w:bCs/>
          <w:color w:val="auto"/>
          <w:kern w:val="2"/>
          <w:sz w:val="32"/>
          <w:szCs w:val="32"/>
          <w:highlight w:val="none"/>
          <w:lang w:val="en-US" w:eastAsia="zh-CN" w:bidi="ar-SA"/>
        </w:rPr>
        <w:t>第十条</w:t>
      </w:r>
      <w:r>
        <w:rPr>
          <w:rFonts w:hint="default" w:ascii="Times New Roman" w:hAnsi="Times New Roman" w:eastAsia="仿宋" w:cs="Times New Roman"/>
          <w:color w:val="auto"/>
          <w:kern w:val="2"/>
          <w:sz w:val="32"/>
          <w:szCs w:val="32"/>
          <w:highlight w:val="none"/>
          <w:lang w:val="en-US" w:eastAsia="zh-CN" w:bidi="ar"/>
        </w:rPr>
        <w:t xml:space="preserve"> 符合国家</w:t>
      </w:r>
      <w:r>
        <w:rPr>
          <w:rFonts w:hint="eastAsia" w:ascii="Times New Roman" w:hAnsi="Times New Roman" w:eastAsia="仿宋" w:cs="Times New Roman"/>
          <w:color w:val="auto"/>
          <w:kern w:val="2"/>
          <w:sz w:val="32"/>
          <w:szCs w:val="32"/>
          <w:highlight w:val="none"/>
          <w:lang w:val="en-US" w:eastAsia="zh-CN" w:bidi="ar"/>
        </w:rPr>
        <w:t>法律法规</w:t>
      </w:r>
      <w:r>
        <w:rPr>
          <w:rFonts w:hint="default" w:ascii="Times New Roman" w:hAnsi="Times New Roman" w:eastAsia="仿宋" w:cs="Times New Roman"/>
          <w:color w:val="auto"/>
          <w:kern w:val="2"/>
          <w:sz w:val="32"/>
          <w:szCs w:val="32"/>
          <w:highlight w:val="none"/>
          <w:lang w:val="en-US" w:eastAsia="zh-CN" w:bidi="ar"/>
        </w:rPr>
        <w:t>、规章以及行政规范性文件规定的应当启动复核</w:t>
      </w:r>
      <w:r>
        <w:rPr>
          <w:rFonts w:hint="eastAsia" w:ascii="Times New Roman" w:hAnsi="Times New Roman" w:eastAsia="仿宋" w:cs="Times New Roman"/>
          <w:color w:val="auto"/>
          <w:kern w:val="2"/>
          <w:sz w:val="32"/>
          <w:szCs w:val="32"/>
          <w:highlight w:val="none"/>
          <w:lang w:val="en-US" w:eastAsia="zh-CN" w:bidi="ar"/>
        </w:rPr>
        <w:t>（论证）</w:t>
      </w:r>
      <w:r>
        <w:rPr>
          <w:rFonts w:hint="default" w:ascii="Times New Roman" w:hAnsi="Times New Roman" w:eastAsia="仿宋" w:cs="Times New Roman"/>
          <w:color w:val="auto"/>
          <w:kern w:val="2"/>
          <w:sz w:val="32"/>
          <w:szCs w:val="32"/>
          <w:highlight w:val="none"/>
          <w:lang w:val="en-US" w:eastAsia="zh-CN" w:bidi="ar"/>
        </w:rPr>
        <w:t>程序的交易项目，按照本办法规定对</w:t>
      </w:r>
      <w:r>
        <w:rPr>
          <w:rFonts w:hint="eastAsia" w:ascii="Times New Roman" w:hAnsi="Times New Roman" w:eastAsia="仿宋" w:cs="Times New Roman"/>
          <w:color w:val="auto"/>
          <w:kern w:val="2"/>
          <w:sz w:val="32"/>
          <w:szCs w:val="32"/>
          <w:highlight w:val="none"/>
          <w:lang w:val="en-US" w:eastAsia="zh-CN" w:bidi="ar"/>
        </w:rPr>
        <w:t>该项目专家现场</w:t>
      </w:r>
      <w:r>
        <w:rPr>
          <w:rFonts w:hint="default" w:ascii="Times New Roman" w:hAnsi="Times New Roman" w:eastAsia="仿宋" w:cs="Times New Roman"/>
          <w:color w:val="auto"/>
          <w:kern w:val="2"/>
          <w:sz w:val="32"/>
          <w:szCs w:val="32"/>
          <w:highlight w:val="none"/>
          <w:lang w:val="en-US" w:eastAsia="zh-CN" w:bidi="ar"/>
        </w:rPr>
        <w:t>履职</w:t>
      </w:r>
      <w:r>
        <w:rPr>
          <w:rFonts w:hint="eastAsia" w:ascii="Times New Roman" w:hAnsi="Times New Roman" w:eastAsia="仿宋" w:cs="Times New Roman"/>
          <w:color w:val="auto"/>
          <w:kern w:val="2"/>
          <w:sz w:val="32"/>
          <w:szCs w:val="32"/>
          <w:highlight w:val="none"/>
          <w:lang w:val="en-US" w:eastAsia="zh-CN" w:bidi="ar"/>
        </w:rPr>
        <w:t>情况进行</w:t>
      </w:r>
      <w:r>
        <w:rPr>
          <w:rFonts w:hint="default" w:ascii="Times New Roman" w:hAnsi="Times New Roman" w:eastAsia="仿宋" w:cs="Times New Roman"/>
          <w:color w:val="auto"/>
          <w:kern w:val="2"/>
          <w:sz w:val="32"/>
          <w:szCs w:val="32"/>
          <w:highlight w:val="none"/>
          <w:lang w:val="en-US" w:eastAsia="zh-CN" w:bidi="ar"/>
        </w:rPr>
        <w:t>评价。</w:t>
      </w:r>
    </w:p>
    <w:p w14:paraId="39CDB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b/>
          <w:bCs/>
          <w:color w:val="auto"/>
          <w:sz w:val="32"/>
          <w:szCs w:val="32"/>
          <w:highlight w:val="none"/>
          <w:lang w:val="en-US" w:eastAsia="zh-CN"/>
        </w:rPr>
        <w:t xml:space="preserve">第十一条 </w:t>
      </w:r>
      <w:r>
        <w:rPr>
          <w:rFonts w:hint="default" w:ascii="Times New Roman" w:hAnsi="Times New Roman" w:eastAsia="仿宋" w:cs="Times New Roman"/>
          <w:color w:val="auto"/>
          <w:sz w:val="32"/>
          <w:szCs w:val="32"/>
          <w:highlight w:val="none"/>
          <w:lang w:eastAsia="zh-CN"/>
        </w:rPr>
        <w:t>各</w:t>
      </w:r>
      <w:r>
        <w:rPr>
          <w:rFonts w:hint="eastAsia" w:ascii="Times New Roman" w:hAnsi="Times New Roman" w:eastAsia="仿宋" w:cs="Times New Roman"/>
          <w:color w:val="auto"/>
          <w:sz w:val="32"/>
          <w:szCs w:val="32"/>
          <w:highlight w:val="none"/>
          <w:lang w:eastAsia="zh-CN"/>
        </w:rPr>
        <w:t>评价</w:t>
      </w:r>
      <w:r>
        <w:rPr>
          <w:rFonts w:hint="default" w:ascii="Times New Roman" w:hAnsi="Times New Roman" w:eastAsia="仿宋" w:cs="Times New Roman"/>
          <w:color w:val="auto"/>
          <w:sz w:val="32"/>
          <w:szCs w:val="32"/>
          <w:highlight w:val="none"/>
          <w:lang w:eastAsia="zh-CN"/>
        </w:rPr>
        <w:t>主体在</w:t>
      </w:r>
      <w:r>
        <w:rPr>
          <w:rFonts w:hint="eastAsia" w:ascii="Times New Roman" w:hAnsi="Times New Roman" w:eastAsia="仿宋" w:cs="Times New Roman"/>
          <w:color w:val="auto"/>
          <w:sz w:val="32"/>
          <w:szCs w:val="32"/>
          <w:highlight w:val="none"/>
          <w:lang w:val="en-US" w:eastAsia="zh-CN"/>
        </w:rPr>
        <w:t>现场监督过程</w:t>
      </w:r>
      <w:r>
        <w:rPr>
          <w:rFonts w:hint="default" w:ascii="Times New Roman" w:hAnsi="Times New Roman" w:eastAsia="仿宋" w:cs="Times New Roman"/>
          <w:color w:val="auto"/>
          <w:sz w:val="32"/>
          <w:szCs w:val="32"/>
          <w:highlight w:val="none"/>
          <w:lang w:eastAsia="zh-CN"/>
        </w:rPr>
        <w:t>中</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发现</w:t>
      </w:r>
      <w:r>
        <w:rPr>
          <w:rFonts w:hint="eastAsia" w:ascii="Times New Roman" w:hAnsi="Times New Roman" w:eastAsia="仿宋" w:cs="Times New Roman"/>
          <w:color w:val="auto"/>
          <w:sz w:val="32"/>
          <w:szCs w:val="32"/>
          <w:highlight w:val="none"/>
          <w:lang w:eastAsia="zh-CN"/>
        </w:rPr>
        <w:t>专家</w:t>
      </w:r>
      <w:r>
        <w:rPr>
          <w:rFonts w:hint="default" w:ascii="Times New Roman" w:hAnsi="Times New Roman" w:eastAsia="仿宋" w:cs="Times New Roman"/>
          <w:color w:val="auto"/>
          <w:sz w:val="32"/>
          <w:szCs w:val="32"/>
          <w:highlight w:val="none"/>
          <w:lang w:eastAsia="zh-CN"/>
        </w:rPr>
        <w:t>有下列情形之一的</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在开展评价的同时，应报请</w:t>
      </w:r>
      <w:r>
        <w:rPr>
          <w:rFonts w:hint="eastAsia" w:ascii="Times New Roman" w:hAnsi="Times New Roman" w:eastAsia="仿宋" w:cs="Times New Roman"/>
          <w:color w:val="auto"/>
          <w:sz w:val="32"/>
          <w:szCs w:val="32"/>
          <w:highlight w:val="none"/>
          <w:lang w:eastAsia="zh-CN"/>
        </w:rPr>
        <w:t>有关行政监督管理部门</w:t>
      </w:r>
      <w:r>
        <w:rPr>
          <w:rFonts w:hint="eastAsia" w:ascii="Times New Roman" w:hAnsi="Times New Roman" w:eastAsia="仿宋" w:cs="Times New Roman"/>
          <w:color w:val="auto"/>
          <w:sz w:val="32"/>
          <w:szCs w:val="32"/>
          <w:highlight w:val="none"/>
          <w:lang w:val="en-US" w:eastAsia="zh-CN"/>
        </w:rPr>
        <w:t>依法依规处理</w:t>
      </w:r>
      <w:r>
        <w:rPr>
          <w:rFonts w:hint="eastAsia" w:ascii="Times New Roman" w:hAnsi="Times New Roman" w:eastAsia="仿宋" w:cs="Times New Roman"/>
          <w:color w:val="auto"/>
          <w:sz w:val="32"/>
          <w:szCs w:val="32"/>
          <w:highlight w:val="none"/>
          <w:lang w:eastAsia="zh-CN"/>
        </w:rPr>
        <w:t>；涉嫌违法违纪的，及时移送纪检监察机关、司法机关处理。</w:t>
      </w:r>
    </w:p>
    <w:p w14:paraId="42AB9A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一</w:t>
      </w:r>
      <w:r>
        <w:rPr>
          <w:rFonts w:hint="default" w:ascii="Times New Roman" w:hAnsi="Times New Roman" w:eastAsia="仿宋" w:cs="Times New Roman"/>
          <w:color w:val="auto"/>
          <w:sz w:val="32"/>
          <w:szCs w:val="32"/>
          <w:highlight w:val="none"/>
          <w:lang w:eastAsia="zh-CN"/>
        </w:rPr>
        <w:t>）应当回避而不回避的；</w:t>
      </w:r>
    </w:p>
    <w:p w14:paraId="25896D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二</w:t>
      </w:r>
      <w:r>
        <w:rPr>
          <w:rFonts w:hint="default" w:ascii="Times New Roman" w:hAnsi="Times New Roman" w:eastAsia="仿宋" w:cs="Times New Roman"/>
          <w:color w:val="auto"/>
          <w:sz w:val="32"/>
          <w:szCs w:val="32"/>
          <w:highlight w:val="none"/>
          <w:lang w:eastAsia="zh-CN"/>
        </w:rPr>
        <w:t>）擅离职守或者扰乱</w:t>
      </w:r>
      <w:r>
        <w:rPr>
          <w:rFonts w:hint="eastAsia" w:ascii="Times New Roman" w:hAnsi="Times New Roman" w:eastAsia="仿宋" w:cs="Times New Roman"/>
          <w:color w:val="auto"/>
          <w:sz w:val="32"/>
          <w:szCs w:val="32"/>
          <w:highlight w:val="none"/>
          <w:lang w:eastAsia="zh-CN"/>
        </w:rPr>
        <w:t>评标评审</w:t>
      </w:r>
      <w:r>
        <w:rPr>
          <w:rFonts w:hint="default" w:ascii="Times New Roman" w:hAnsi="Times New Roman" w:eastAsia="仿宋" w:cs="Times New Roman"/>
          <w:color w:val="auto"/>
          <w:sz w:val="32"/>
          <w:szCs w:val="32"/>
          <w:highlight w:val="none"/>
          <w:lang w:eastAsia="zh-CN"/>
        </w:rPr>
        <w:t>现场秩序的；</w:t>
      </w:r>
    </w:p>
    <w:p w14:paraId="717522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三</w:t>
      </w:r>
      <w:r>
        <w:rPr>
          <w:rFonts w:hint="default" w:ascii="Times New Roman" w:hAnsi="Times New Roman" w:eastAsia="仿宋" w:cs="Times New Roman"/>
          <w:color w:val="auto"/>
          <w:sz w:val="32"/>
          <w:szCs w:val="32"/>
          <w:highlight w:val="none"/>
          <w:lang w:eastAsia="zh-CN"/>
        </w:rPr>
        <w:t>）不按照招标文件确定的</w:t>
      </w:r>
      <w:r>
        <w:rPr>
          <w:rFonts w:hint="eastAsia" w:ascii="Times New Roman" w:hAnsi="Times New Roman" w:eastAsia="仿宋" w:cs="Times New Roman"/>
          <w:color w:val="auto"/>
          <w:sz w:val="32"/>
          <w:szCs w:val="32"/>
          <w:highlight w:val="none"/>
          <w:lang w:eastAsia="zh-CN"/>
        </w:rPr>
        <w:t>评标评审</w:t>
      </w:r>
      <w:r>
        <w:rPr>
          <w:rFonts w:hint="default" w:ascii="Times New Roman" w:hAnsi="Times New Roman" w:eastAsia="仿宋" w:cs="Times New Roman"/>
          <w:color w:val="auto"/>
          <w:sz w:val="32"/>
          <w:szCs w:val="32"/>
          <w:highlight w:val="none"/>
          <w:lang w:eastAsia="zh-CN"/>
        </w:rPr>
        <w:t>标准和方法进行</w:t>
      </w:r>
      <w:r>
        <w:rPr>
          <w:rFonts w:hint="eastAsia" w:ascii="Times New Roman" w:hAnsi="Times New Roman" w:eastAsia="仿宋" w:cs="Times New Roman"/>
          <w:color w:val="auto"/>
          <w:sz w:val="32"/>
          <w:szCs w:val="32"/>
          <w:highlight w:val="none"/>
          <w:lang w:eastAsia="zh-CN"/>
        </w:rPr>
        <w:t>评标评审</w:t>
      </w:r>
      <w:r>
        <w:rPr>
          <w:rFonts w:hint="default" w:ascii="Times New Roman" w:hAnsi="Times New Roman" w:eastAsia="仿宋" w:cs="Times New Roman"/>
          <w:color w:val="auto"/>
          <w:sz w:val="32"/>
          <w:szCs w:val="32"/>
          <w:highlight w:val="none"/>
          <w:lang w:eastAsia="zh-CN"/>
        </w:rPr>
        <w:t>，或者对依法应当否决的投标不提出否决意见的；</w:t>
      </w:r>
    </w:p>
    <w:p w14:paraId="4F4493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四</w:t>
      </w:r>
      <w:r>
        <w:rPr>
          <w:rFonts w:hint="default" w:ascii="Times New Roman" w:hAnsi="Times New Roman" w:eastAsia="仿宋" w:cs="Times New Roman"/>
          <w:color w:val="auto"/>
          <w:sz w:val="32"/>
          <w:szCs w:val="32"/>
          <w:highlight w:val="none"/>
          <w:lang w:eastAsia="zh-CN"/>
        </w:rPr>
        <w:t>）与招标人、招标代理机构、投标人或者其他利害关系人私下接触或者相互串通的；</w:t>
      </w:r>
    </w:p>
    <w:p w14:paraId="7B7E58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五</w:t>
      </w:r>
      <w:r>
        <w:rPr>
          <w:rFonts w:hint="default" w:ascii="Times New Roman" w:hAnsi="Times New Roman" w:eastAsia="仿宋" w:cs="Times New Roman"/>
          <w:color w:val="auto"/>
          <w:sz w:val="32"/>
          <w:szCs w:val="32"/>
          <w:highlight w:val="none"/>
          <w:lang w:eastAsia="zh-CN"/>
        </w:rPr>
        <w:t>）向招标人征询确定中标人的意向，或者接受任何单位、个人提出的倾向、排斥特定投标人要求的；</w:t>
      </w:r>
    </w:p>
    <w:p w14:paraId="4738A7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六</w:t>
      </w:r>
      <w:r>
        <w:rPr>
          <w:rFonts w:hint="default" w:ascii="Times New Roman" w:hAnsi="Times New Roman" w:eastAsia="仿宋" w:cs="Times New Roman"/>
          <w:color w:val="auto"/>
          <w:sz w:val="32"/>
          <w:szCs w:val="32"/>
          <w:highlight w:val="none"/>
          <w:lang w:eastAsia="zh-CN"/>
        </w:rPr>
        <w:t>）暗示或者诱导投标人作出澄清、说明，或者接受投标人主动提出的澄清、说明的；</w:t>
      </w:r>
    </w:p>
    <w:p w14:paraId="67639A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七</w:t>
      </w:r>
      <w:r>
        <w:rPr>
          <w:rFonts w:hint="default" w:ascii="Times New Roman" w:hAnsi="Times New Roman" w:eastAsia="仿宋" w:cs="Times New Roman"/>
          <w:color w:val="auto"/>
          <w:sz w:val="32"/>
          <w:szCs w:val="32"/>
          <w:highlight w:val="none"/>
          <w:lang w:eastAsia="zh-CN"/>
        </w:rPr>
        <w:t>）对其他评标委员会成员的独立</w:t>
      </w:r>
      <w:r>
        <w:rPr>
          <w:rFonts w:hint="eastAsia" w:ascii="Times New Roman" w:hAnsi="Times New Roman" w:eastAsia="仿宋" w:cs="Times New Roman"/>
          <w:color w:val="auto"/>
          <w:sz w:val="32"/>
          <w:szCs w:val="32"/>
          <w:highlight w:val="none"/>
          <w:lang w:eastAsia="zh-CN"/>
        </w:rPr>
        <w:t>评标评审</w:t>
      </w:r>
      <w:r>
        <w:rPr>
          <w:rFonts w:hint="default" w:ascii="Times New Roman" w:hAnsi="Times New Roman" w:eastAsia="仿宋" w:cs="Times New Roman"/>
          <w:color w:val="auto"/>
          <w:sz w:val="32"/>
          <w:szCs w:val="32"/>
          <w:highlight w:val="none"/>
          <w:lang w:eastAsia="zh-CN"/>
        </w:rPr>
        <w:t>施加不当影响的；</w:t>
      </w:r>
    </w:p>
    <w:p w14:paraId="4BA0E3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八</w:t>
      </w:r>
      <w:r>
        <w:rPr>
          <w:rFonts w:hint="default" w:ascii="Times New Roman" w:hAnsi="Times New Roman" w:eastAsia="仿宋" w:cs="Times New Roman"/>
          <w:color w:val="auto"/>
          <w:sz w:val="32"/>
          <w:szCs w:val="32"/>
          <w:highlight w:val="none"/>
          <w:lang w:eastAsia="zh-CN"/>
        </w:rPr>
        <w:t>）违法透露对投标文件的评审和比较、中标候选人的推荐以及与</w:t>
      </w:r>
      <w:r>
        <w:rPr>
          <w:rFonts w:hint="eastAsia" w:ascii="Times New Roman" w:hAnsi="Times New Roman" w:eastAsia="仿宋" w:cs="Times New Roman"/>
          <w:color w:val="auto"/>
          <w:sz w:val="32"/>
          <w:szCs w:val="32"/>
          <w:highlight w:val="none"/>
          <w:lang w:eastAsia="zh-CN"/>
        </w:rPr>
        <w:t>评标评审</w:t>
      </w:r>
      <w:r>
        <w:rPr>
          <w:rFonts w:hint="default" w:ascii="Times New Roman" w:hAnsi="Times New Roman" w:eastAsia="仿宋" w:cs="Times New Roman"/>
          <w:color w:val="auto"/>
          <w:sz w:val="32"/>
          <w:szCs w:val="32"/>
          <w:highlight w:val="none"/>
          <w:lang w:eastAsia="zh-CN"/>
        </w:rPr>
        <w:t>有关的其他情况的；</w:t>
      </w:r>
    </w:p>
    <w:p w14:paraId="6FE3F4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九</w:t>
      </w:r>
      <w:r>
        <w:rPr>
          <w:rFonts w:hint="default" w:ascii="Times New Roman" w:hAnsi="Times New Roman" w:eastAsia="仿宋" w:cs="Times New Roman"/>
          <w:color w:val="auto"/>
          <w:sz w:val="32"/>
          <w:szCs w:val="32"/>
          <w:highlight w:val="none"/>
          <w:lang w:eastAsia="zh-CN"/>
        </w:rPr>
        <w:t>）索取或者收受</w:t>
      </w:r>
      <w:r>
        <w:rPr>
          <w:rFonts w:hint="eastAsia" w:ascii="Times New Roman" w:hAnsi="Times New Roman" w:eastAsia="仿宋" w:cs="Times New Roman"/>
          <w:color w:val="auto"/>
          <w:sz w:val="32"/>
          <w:szCs w:val="32"/>
          <w:highlight w:val="none"/>
          <w:lang w:eastAsia="zh-CN"/>
        </w:rPr>
        <w:t>评标评审</w:t>
      </w:r>
      <w:r>
        <w:rPr>
          <w:rFonts w:hint="default" w:ascii="Times New Roman" w:hAnsi="Times New Roman" w:eastAsia="仿宋" w:cs="Times New Roman"/>
          <w:color w:val="auto"/>
          <w:sz w:val="32"/>
          <w:szCs w:val="32"/>
          <w:highlight w:val="none"/>
          <w:lang w:eastAsia="zh-CN"/>
        </w:rPr>
        <w:t>劳务报酬以外财物的；</w:t>
      </w:r>
    </w:p>
    <w:p w14:paraId="67B4C3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（十）</w:t>
      </w:r>
      <w:r>
        <w:rPr>
          <w:rFonts w:hint="eastAsia" w:ascii="Times New Roman" w:hAnsi="Times New Roman" w:eastAsia="仿宋" w:cs="Times New Roman"/>
          <w:color w:val="auto"/>
          <w:sz w:val="32"/>
          <w:szCs w:val="32"/>
          <w:highlight w:val="none"/>
          <w:lang w:eastAsia="zh-CN"/>
        </w:rPr>
        <w:t>发现有替代评标评审情形的；</w:t>
      </w:r>
    </w:p>
    <w:p w14:paraId="2C0713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（十一）不协助、不配合有关部门的监督、调查工作的；</w:t>
      </w:r>
    </w:p>
    <w:p w14:paraId="1E28E2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（十</w:t>
      </w:r>
      <w:r>
        <w:rPr>
          <w:rFonts w:hint="eastAsia" w:ascii="Times New Roman" w:hAnsi="Times New Roman" w:eastAsia="仿宋" w:cs="Times New Roman"/>
          <w:color w:val="auto"/>
          <w:sz w:val="32"/>
          <w:szCs w:val="32"/>
          <w:highlight w:val="none"/>
          <w:lang w:val="en-US" w:eastAsia="zh-CN"/>
        </w:rPr>
        <w:t>二</w:t>
      </w:r>
      <w:r>
        <w:rPr>
          <w:rFonts w:hint="default" w:ascii="Times New Roman" w:hAnsi="Times New Roman" w:eastAsia="仿宋" w:cs="Times New Roman"/>
          <w:color w:val="auto"/>
          <w:sz w:val="32"/>
          <w:szCs w:val="32"/>
          <w:highlight w:val="none"/>
          <w:lang w:eastAsia="zh-CN"/>
        </w:rPr>
        <w:t>）其他不客观、不公正履行职责的行为。</w:t>
      </w:r>
    </w:p>
    <w:p w14:paraId="5B8795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以上</w:t>
      </w:r>
      <w:r>
        <w:rPr>
          <w:rFonts w:hint="default" w:ascii="Times New Roman" w:hAnsi="Times New Roman" w:eastAsia="仿宋" w:cs="Times New Roman"/>
          <w:color w:val="auto"/>
          <w:sz w:val="32"/>
          <w:szCs w:val="32"/>
          <w:highlight w:val="none"/>
        </w:rPr>
        <w:t>行为属于</w:t>
      </w:r>
      <w:r>
        <w:rPr>
          <w:rFonts w:hint="eastAsia" w:ascii="Times New Roman" w:hAnsi="Times New Roman" w:eastAsia="仿宋" w:cs="Times New Roman"/>
          <w:color w:val="auto"/>
          <w:sz w:val="32"/>
          <w:szCs w:val="32"/>
          <w:highlight w:val="none"/>
          <w:lang w:val="en-US" w:eastAsia="zh-CN"/>
        </w:rPr>
        <w:t>《评价记录表》</w:t>
      </w:r>
      <w:r>
        <w:rPr>
          <w:rFonts w:hint="default" w:ascii="Times New Roman" w:hAnsi="Times New Roman" w:eastAsia="仿宋" w:cs="Times New Roman"/>
          <w:color w:val="auto"/>
          <w:sz w:val="32"/>
          <w:szCs w:val="32"/>
          <w:highlight w:val="none"/>
        </w:rPr>
        <w:t>所列</w:t>
      </w:r>
      <w:r>
        <w:rPr>
          <w:rFonts w:hint="eastAsia" w:ascii="Times New Roman" w:hAnsi="Times New Roman" w:eastAsia="仿宋" w:cs="Times New Roman"/>
          <w:color w:val="auto"/>
          <w:sz w:val="32"/>
          <w:szCs w:val="32"/>
          <w:highlight w:val="none"/>
          <w:lang w:val="en-US" w:eastAsia="zh-CN"/>
        </w:rPr>
        <w:t>评价内容</w:t>
      </w:r>
      <w:r>
        <w:rPr>
          <w:rFonts w:hint="default" w:ascii="Times New Roman" w:hAnsi="Times New Roman" w:eastAsia="仿宋" w:cs="Times New Roman"/>
          <w:color w:val="auto"/>
          <w:sz w:val="32"/>
          <w:szCs w:val="32"/>
          <w:highlight w:val="none"/>
        </w:rPr>
        <w:t>扣分行为的</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应</w:t>
      </w:r>
      <w:r>
        <w:rPr>
          <w:rFonts w:hint="default" w:ascii="Times New Roman" w:hAnsi="Times New Roman" w:eastAsia="仿宋" w:cs="Times New Roman"/>
          <w:color w:val="auto"/>
          <w:sz w:val="32"/>
          <w:szCs w:val="32"/>
          <w:highlight w:val="none"/>
        </w:rPr>
        <w:t>按照本办法同时进行扣分。</w:t>
      </w:r>
    </w:p>
    <w:p w14:paraId="2CC46884">
      <w:pPr>
        <w:pStyle w:val="9"/>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专家存在</w:t>
      </w:r>
      <w:r>
        <w:rPr>
          <w:rFonts w:hint="eastAsia" w:ascii="Times New Roman" w:hAnsi="Times New Roman" w:eastAsia="仿宋" w:cs="Times New Roman"/>
          <w:color w:val="auto"/>
          <w:sz w:val="32"/>
          <w:szCs w:val="32"/>
          <w:highlight w:val="none"/>
          <w:lang w:eastAsia="zh-CN"/>
        </w:rPr>
        <w:t>以上行为</w:t>
      </w:r>
      <w:r>
        <w:rPr>
          <w:rFonts w:hint="eastAsia" w:ascii="Times New Roman" w:hAnsi="Times New Roman" w:eastAsia="仿宋" w:cs="Times New Roman"/>
          <w:color w:val="auto"/>
          <w:sz w:val="32"/>
          <w:szCs w:val="32"/>
          <w:highlight w:val="none"/>
          <w:lang w:val="en-US" w:eastAsia="zh-CN"/>
        </w:rPr>
        <w:t>及第十二条情形，</w:t>
      </w:r>
      <w:r>
        <w:rPr>
          <w:rFonts w:hint="eastAsia" w:ascii="Times New Roman" w:hAnsi="Times New Roman" w:eastAsia="仿宋" w:cs="Times New Roman"/>
          <w:color w:val="auto"/>
          <w:sz w:val="32"/>
          <w:szCs w:val="32"/>
          <w:highlight w:val="none"/>
          <w:lang w:eastAsia="zh-CN"/>
        </w:rPr>
        <w:t>在行政监督管理部门作出处理前，交易中心应暂停</w:t>
      </w:r>
      <w:r>
        <w:rPr>
          <w:rFonts w:hint="eastAsia" w:ascii="Times New Roman" w:hAnsi="Times New Roman" w:eastAsia="仿宋" w:cs="Times New Roman"/>
          <w:color w:val="auto"/>
          <w:sz w:val="32"/>
          <w:szCs w:val="32"/>
          <w:highlight w:val="none"/>
          <w:lang w:val="en-US" w:eastAsia="zh-CN"/>
        </w:rPr>
        <w:t>其专家库抽取资格</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行政监督管理部门作出处理后，按照处理意见执行。</w:t>
      </w:r>
    </w:p>
    <w:p w14:paraId="2C284EA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 w:cs="Times New Roman"/>
          <w:bCs/>
          <w:color w:val="auto"/>
          <w:spacing w:val="0"/>
          <w:kern w:val="0"/>
          <w:sz w:val="32"/>
          <w:szCs w:val="32"/>
          <w:highlight w:val="none"/>
          <w:lang w:eastAsia="zh-CN" w:bidi="ar"/>
        </w:rPr>
      </w:pPr>
      <w:r>
        <w:rPr>
          <w:rFonts w:hint="eastAsia" w:ascii="Times New Roman" w:hAnsi="Times New Roman" w:eastAsia="仿宋" w:cs="Times New Roman"/>
          <w:b/>
          <w:bCs/>
          <w:color w:val="auto"/>
          <w:sz w:val="32"/>
          <w:szCs w:val="32"/>
          <w:highlight w:val="none"/>
          <w:lang w:val="en-US" w:eastAsia="zh-CN"/>
        </w:rPr>
        <w:t xml:space="preserve">第十二条 </w:t>
      </w:r>
      <w:r>
        <w:rPr>
          <w:rFonts w:hint="eastAsia" w:ascii="Times New Roman" w:hAnsi="Times New Roman" w:eastAsia="仿宋" w:cs="Times New Roman"/>
          <w:bCs/>
          <w:color w:val="auto"/>
          <w:spacing w:val="0"/>
          <w:kern w:val="0"/>
          <w:sz w:val="32"/>
          <w:szCs w:val="32"/>
          <w:highlight w:val="none"/>
          <w:lang w:val="en-US" w:eastAsia="zh-CN" w:bidi="ar"/>
        </w:rPr>
        <w:t>专家年度评价实行扣分积分制。</w:t>
      </w:r>
      <w:r>
        <w:rPr>
          <w:rFonts w:hint="default" w:ascii="Times New Roman" w:hAnsi="Times New Roman" w:eastAsia="仿宋" w:cs="Times New Roman"/>
          <w:bCs/>
          <w:color w:val="auto"/>
          <w:spacing w:val="0"/>
          <w:kern w:val="0"/>
          <w:sz w:val="32"/>
          <w:szCs w:val="32"/>
          <w:highlight w:val="none"/>
          <w:lang w:bidi="ar"/>
        </w:rPr>
        <w:t>当年累计扣分达到30分时，</w:t>
      </w:r>
      <w:r>
        <w:rPr>
          <w:rFonts w:hint="eastAsia" w:ascii="Times New Roman" w:hAnsi="Times New Roman" w:eastAsia="仿宋" w:cs="Times New Roman"/>
          <w:bCs/>
          <w:color w:val="auto"/>
          <w:spacing w:val="0"/>
          <w:kern w:val="0"/>
          <w:sz w:val="32"/>
          <w:szCs w:val="32"/>
          <w:highlight w:val="none"/>
          <w:lang w:val="en-US" w:eastAsia="zh-CN" w:bidi="ar"/>
        </w:rPr>
        <w:t>经专家库组建单位确认，</w:t>
      </w:r>
      <w:r>
        <w:rPr>
          <w:rFonts w:hint="default" w:ascii="Times New Roman" w:hAnsi="Times New Roman" w:eastAsia="仿宋" w:cs="Times New Roman"/>
          <w:bCs/>
          <w:color w:val="auto"/>
          <w:spacing w:val="0"/>
          <w:kern w:val="0"/>
          <w:sz w:val="32"/>
          <w:szCs w:val="32"/>
          <w:highlight w:val="none"/>
          <w:lang w:bidi="ar"/>
        </w:rPr>
        <w:t>暂停其</w:t>
      </w:r>
      <w:r>
        <w:rPr>
          <w:rFonts w:hint="eastAsia" w:ascii="Times New Roman" w:hAnsi="Times New Roman" w:eastAsia="仿宋" w:cs="Times New Roman"/>
          <w:bCs/>
          <w:color w:val="auto"/>
          <w:spacing w:val="0"/>
          <w:kern w:val="0"/>
          <w:sz w:val="32"/>
          <w:szCs w:val="32"/>
          <w:highlight w:val="none"/>
          <w:lang w:eastAsia="zh-CN" w:bidi="ar"/>
        </w:rPr>
        <w:t>专家</w:t>
      </w:r>
      <w:r>
        <w:rPr>
          <w:rFonts w:hint="default" w:ascii="Times New Roman" w:hAnsi="Times New Roman" w:eastAsia="仿宋" w:cs="Times New Roman"/>
          <w:bCs/>
          <w:color w:val="auto"/>
          <w:spacing w:val="0"/>
          <w:kern w:val="0"/>
          <w:sz w:val="32"/>
          <w:szCs w:val="32"/>
          <w:highlight w:val="none"/>
          <w:lang w:bidi="ar"/>
        </w:rPr>
        <w:t>库抽取资格三个月</w:t>
      </w:r>
      <w:r>
        <w:rPr>
          <w:rFonts w:hint="eastAsia" w:ascii="Times New Roman" w:hAnsi="Times New Roman" w:eastAsia="仿宋" w:cs="Times New Roman"/>
          <w:bCs/>
          <w:color w:val="auto"/>
          <w:spacing w:val="0"/>
          <w:kern w:val="0"/>
          <w:sz w:val="32"/>
          <w:szCs w:val="32"/>
          <w:highlight w:val="none"/>
          <w:lang w:eastAsia="zh-CN" w:bidi="ar"/>
        </w:rPr>
        <w:t>。</w:t>
      </w:r>
    </w:p>
    <w:p w14:paraId="0FD1D2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bidi="ar"/>
        </w:rPr>
      </w:pPr>
      <w:r>
        <w:rPr>
          <w:rFonts w:hint="default" w:ascii="Times New Roman" w:hAnsi="Times New Roman" w:eastAsia="仿宋" w:cs="Times New Roman"/>
          <w:bCs/>
          <w:color w:val="auto"/>
          <w:spacing w:val="0"/>
          <w:kern w:val="0"/>
          <w:sz w:val="32"/>
          <w:szCs w:val="32"/>
          <w:highlight w:val="none"/>
          <w:lang w:bidi="ar"/>
        </w:rPr>
        <w:t>当年累计扣分达到50分时，向有关行政监督管理部门建议，禁止其在一定期限内参加依法必须进行招标项目的</w:t>
      </w:r>
      <w:r>
        <w:rPr>
          <w:rFonts w:hint="eastAsia" w:ascii="Times New Roman" w:hAnsi="Times New Roman" w:eastAsia="仿宋" w:cs="Times New Roman"/>
          <w:bCs/>
          <w:color w:val="auto"/>
          <w:spacing w:val="0"/>
          <w:kern w:val="0"/>
          <w:sz w:val="32"/>
          <w:szCs w:val="32"/>
          <w:highlight w:val="none"/>
          <w:lang w:eastAsia="zh-CN" w:bidi="ar"/>
        </w:rPr>
        <w:t>评标评审，</w:t>
      </w:r>
      <w:r>
        <w:rPr>
          <w:rFonts w:hint="eastAsia" w:ascii="Times New Roman" w:hAnsi="Times New Roman" w:eastAsia="仿宋" w:cs="Times New Roman"/>
          <w:bCs/>
          <w:color w:val="auto"/>
          <w:spacing w:val="0"/>
          <w:kern w:val="0"/>
          <w:sz w:val="32"/>
          <w:szCs w:val="32"/>
          <w:highlight w:val="none"/>
          <w:lang w:val="en-US" w:eastAsia="zh-CN" w:bidi="ar"/>
        </w:rPr>
        <w:t>或</w:t>
      </w:r>
      <w:r>
        <w:rPr>
          <w:rFonts w:hint="default" w:ascii="Times New Roman" w:hAnsi="Times New Roman" w:eastAsia="仿宋" w:cs="Times New Roman"/>
          <w:bCs/>
          <w:color w:val="auto"/>
          <w:spacing w:val="0"/>
          <w:kern w:val="0"/>
          <w:sz w:val="32"/>
          <w:szCs w:val="32"/>
          <w:highlight w:val="none"/>
          <w:lang w:bidi="ar"/>
        </w:rPr>
        <w:t>取消其担任</w:t>
      </w:r>
      <w:r>
        <w:rPr>
          <w:rFonts w:hint="eastAsia" w:ascii="Times New Roman" w:hAnsi="Times New Roman" w:eastAsia="仿宋" w:cs="Times New Roman"/>
          <w:bCs/>
          <w:color w:val="auto"/>
          <w:spacing w:val="0"/>
          <w:kern w:val="0"/>
          <w:sz w:val="32"/>
          <w:szCs w:val="32"/>
          <w:highlight w:val="none"/>
          <w:lang w:eastAsia="zh-CN" w:bidi="ar"/>
        </w:rPr>
        <w:t>评标评审</w:t>
      </w:r>
      <w:r>
        <w:rPr>
          <w:rFonts w:hint="default" w:ascii="Times New Roman" w:hAnsi="Times New Roman" w:eastAsia="仿宋" w:cs="Times New Roman"/>
          <w:bCs/>
          <w:color w:val="auto"/>
          <w:spacing w:val="0"/>
          <w:kern w:val="0"/>
          <w:sz w:val="32"/>
          <w:szCs w:val="32"/>
          <w:highlight w:val="none"/>
          <w:lang w:bidi="ar"/>
        </w:rPr>
        <w:t>委员会成员的资格。</w:t>
      </w:r>
    </w:p>
    <w:p w14:paraId="0DD298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经专家库组建单位确认或有关行政监督部门作出禁止专家在一定期限内参加依法必须进行招标项目评标评审的决定后，交易中心先行暂停抽取资格时间应予抵扣。</w:t>
      </w:r>
    </w:p>
    <w:p w14:paraId="46377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Times New Roman"/>
          <w:bCs/>
          <w:color w:val="auto"/>
          <w:spacing w:val="-6"/>
          <w:kern w:val="0"/>
          <w:sz w:val="32"/>
          <w:szCs w:val="32"/>
          <w:highlight w:val="none"/>
          <w:lang w:val="en-US" w:eastAsia="zh-CN" w:bidi="ar"/>
        </w:rPr>
      </w:pPr>
      <w:r>
        <w:rPr>
          <w:rFonts w:hint="eastAsia" w:ascii="Times New Roman" w:hAnsi="Times New Roman" w:eastAsia="仿宋" w:cs="Times New Roman"/>
          <w:b/>
          <w:bCs/>
          <w:color w:val="auto"/>
          <w:sz w:val="32"/>
          <w:szCs w:val="32"/>
          <w:highlight w:val="none"/>
          <w:lang w:val="en-US" w:eastAsia="zh-CN"/>
        </w:rPr>
        <w:t xml:space="preserve">第十三条 </w:t>
      </w:r>
      <w:r>
        <w:rPr>
          <w:rFonts w:hint="eastAsia" w:ascii="Times New Roman" w:hAnsi="Times New Roman" w:eastAsia="仿宋" w:cs="Times New Roman"/>
          <w:bCs/>
          <w:color w:val="auto"/>
          <w:spacing w:val="-6"/>
          <w:kern w:val="0"/>
          <w:sz w:val="32"/>
          <w:szCs w:val="32"/>
          <w:highlight w:val="none"/>
          <w:lang w:val="en-US" w:eastAsia="zh-CN" w:bidi="ar"/>
        </w:rPr>
        <w:t>交易中心应当在评价主体完成专家现场履职情况评价后5个工作日内，将评价结果通过公共资源交易网向社会公示，公示期不少于3个工作日。</w:t>
      </w:r>
    </w:p>
    <w:p w14:paraId="040743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color w:val="auto"/>
          <w:spacing w:val="-6"/>
          <w:kern w:val="0"/>
          <w:sz w:val="32"/>
          <w:szCs w:val="32"/>
          <w:highlight w:val="none"/>
          <w:lang w:bidi="ar"/>
        </w:rPr>
      </w:pPr>
      <w:r>
        <w:rPr>
          <w:rFonts w:hint="eastAsia" w:ascii="Times New Roman" w:hAnsi="Times New Roman" w:eastAsia="仿宋" w:cs="Times New Roman"/>
          <w:color w:val="auto"/>
          <w:sz w:val="32"/>
          <w:szCs w:val="32"/>
          <w:highlight w:val="none"/>
          <w:lang w:eastAsia="zh-CN"/>
        </w:rPr>
        <w:t>专家</w:t>
      </w:r>
      <w:r>
        <w:rPr>
          <w:rFonts w:hint="default" w:ascii="Times New Roman" w:hAnsi="Times New Roman" w:eastAsia="仿宋" w:cs="Times New Roman"/>
          <w:bCs/>
          <w:color w:val="auto"/>
          <w:spacing w:val="-6"/>
          <w:kern w:val="0"/>
          <w:sz w:val="32"/>
          <w:szCs w:val="32"/>
          <w:highlight w:val="none"/>
          <w:lang w:bidi="ar"/>
        </w:rPr>
        <w:t>的</w:t>
      </w:r>
      <w:r>
        <w:rPr>
          <w:rFonts w:hint="eastAsia" w:ascii="Times New Roman" w:hAnsi="Times New Roman" w:eastAsia="仿宋" w:cs="Times New Roman"/>
          <w:bCs/>
          <w:color w:val="auto"/>
          <w:spacing w:val="-6"/>
          <w:kern w:val="0"/>
          <w:sz w:val="32"/>
          <w:szCs w:val="32"/>
          <w:highlight w:val="none"/>
          <w:lang w:val="en-US" w:eastAsia="zh-CN" w:bidi="ar"/>
        </w:rPr>
        <w:t>评价</w:t>
      </w:r>
      <w:r>
        <w:rPr>
          <w:rFonts w:hint="default" w:ascii="Times New Roman" w:hAnsi="Times New Roman" w:eastAsia="仿宋" w:cs="Times New Roman"/>
          <w:bCs/>
          <w:color w:val="auto"/>
          <w:spacing w:val="-6"/>
          <w:kern w:val="0"/>
          <w:sz w:val="32"/>
          <w:szCs w:val="32"/>
          <w:highlight w:val="none"/>
          <w:lang w:bidi="ar"/>
        </w:rPr>
        <w:t>情况汇总表由各地（州</w:t>
      </w:r>
      <w:r>
        <w:rPr>
          <w:rFonts w:hint="eastAsia" w:ascii="Times New Roman" w:hAnsi="Times New Roman" w:eastAsia="仿宋" w:cs="Times New Roman"/>
          <w:bCs/>
          <w:color w:val="auto"/>
          <w:spacing w:val="-6"/>
          <w:kern w:val="0"/>
          <w:sz w:val="32"/>
          <w:szCs w:val="32"/>
          <w:highlight w:val="none"/>
          <w:lang w:eastAsia="zh-CN" w:bidi="ar"/>
        </w:rPr>
        <w:t>、</w:t>
      </w:r>
      <w:r>
        <w:rPr>
          <w:rFonts w:hint="default" w:ascii="Times New Roman" w:hAnsi="Times New Roman" w:eastAsia="仿宋" w:cs="Times New Roman"/>
          <w:bCs/>
          <w:color w:val="auto"/>
          <w:spacing w:val="-6"/>
          <w:kern w:val="0"/>
          <w:sz w:val="32"/>
          <w:szCs w:val="32"/>
          <w:highlight w:val="none"/>
          <w:lang w:bidi="ar"/>
        </w:rPr>
        <w:t>市）</w:t>
      </w:r>
      <w:r>
        <w:rPr>
          <w:rFonts w:hint="eastAsia" w:ascii="Times New Roman" w:hAnsi="Times New Roman" w:eastAsia="仿宋" w:cs="Times New Roman"/>
          <w:bCs/>
          <w:color w:val="auto"/>
          <w:spacing w:val="-6"/>
          <w:kern w:val="0"/>
          <w:sz w:val="32"/>
          <w:szCs w:val="32"/>
          <w:highlight w:val="none"/>
          <w:lang w:eastAsia="zh-CN" w:bidi="ar"/>
        </w:rPr>
        <w:t>交易中心</w:t>
      </w:r>
      <w:r>
        <w:rPr>
          <w:rFonts w:hint="default" w:ascii="Times New Roman" w:hAnsi="Times New Roman" w:eastAsia="仿宋" w:cs="Times New Roman"/>
          <w:bCs/>
          <w:color w:val="auto"/>
          <w:spacing w:val="-6"/>
          <w:kern w:val="0"/>
          <w:sz w:val="32"/>
          <w:szCs w:val="32"/>
          <w:highlight w:val="none"/>
          <w:lang w:bidi="ar"/>
        </w:rPr>
        <w:t>按月向</w:t>
      </w:r>
      <w:r>
        <w:rPr>
          <w:rFonts w:hint="eastAsia" w:ascii="Times New Roman" w:hAnsi="Times New Roman" w:eastAsia="仿宋" w:cs="Times New Roman"/>
          <w:color w:val="auto"/>
          <w:sz w:val="32"/>
          <w:szCs w:val="32"/>
          <w:highlight w:val="none"/>
          <w:lang w:val="en-US" w:eastAsia="zh-CN"/>
        </w:rPr>
        <w:t>自治区交易中心</w:t>
      </w:r>
      <w:r>
        <w:rPr>
          <w:rFonts w:hint="default" w:ascii="Times New Roman" w:hAnsi="Times New Roman" w:eastAsia="仿宋" w:cs="Times New Roman"/>
          <w:bCs/>
          <w:color w:val="auto"/>
          <w:spacing w:val="-6"/>
          <w:kern w:val="0"/>
          <w:sz w:val="32"/>
          <w:szCs w:val="32"/>
          <w:highlight w:val="none"/>
          <w:lang w:bidi="ar"/>
        </w:rPr>
        <w:t>报送</w:t>
      </w:r>
      <w:r>
        <w:rPr>
          <w:rFonts w:hint="eastAsia" w:ascii="Times New Roman" w:hAnsi="Times New Roman" w:eastAsia="仿宋" w:cs="Times New Roman"/>
          <w:bCs/>
          <w:color w:val="auto"/>
          <w:spacing w:val="-6"/>
          <w:kern w:val="0"/>
          <w:sz w:val="32"/>
          <w:szCs w:val="32"/>
          <w:highlight w:val="none"/>
          <w:lang w:eastAsia="zh-CN" w:bidi="ar"/>
        </w:rPr>
        <w:t>。</w:t>
      </w:r>
      <w:r>
        <w:rPr>
          <w:rFonts w:hint="eastAsia" w:ascii="Times New Roman" w:hAnsi="Times New Roman" w:eastAsia="仿宋" w:cs="Times New Roman"/>
          <w:color w:val="auto"/>
          <w:sz w:val="32"/>
          <w:szCs w:val="32"/>
          <w:highlight w:val="none"/>
          <w:lang w:val="en-US" w:eastAsia="zh-CN"/>
        </w:rPr>
        <w:t>自治区交易中心</w:t>
      </w:r>
      <w:r>
        <w:rPr>
          <w:rFonts w:hint="default" w:ascii="Times New Roman" w:hAnsi="Times New Roman" w:eastAsia="仿宋" w:cs="Times New Roman"/>
          <w:bCs/>
          <w:color w:val="auto"/>
          <w:spacing w:val="-6"/>
          <w:kern w:val="0"/>
          <w:sz w:val="32"/>
          <w:szCs w:val="32"/>
          <w:highlight w:val="none"/>
          <w:lang w:bidi="ar"/>
        </w:rPr>
        <w:t>每</w:t>
      </w:r>
      <w:r>
        <w:rPr>
          <w:rFonts w:hint="eastAsia" w:ascii="Times New Roman" w:hAnsi="Times New Roman" w:eastAsia="仿宋" w:cs="Times New Roman"/>
          <w:bCs/>
          <w:color w:val="auto"/>
          <w:spacing w:val="-6"/>
          <w:kern w:val="0"/>
          <w:sz w:val="32"/>
          <w:szCs w:val="32"/>
          <w:highlight w:val="none"/>
          <w:lang w:val="en-US" w:eastAsia="zh-CN" w:bidi="ar"/>
        </w:rPr>
        <w:t>月10日前</w:t>
      </w:r>
      <w:r>
        <w:rPr>
          <w:rFonts w:hint="eastAsia" w:ascii="Times New Roman" w:hAnsi="Times New Roman" w:eastAsia="仿宋" w:cs="Times New Roman"/>
          <w:bCs/>
          <w:color w:val="auto"/>
          <w:spacing w:val="-6"/>
          <w:kern w:val="0"/>
          <w:sz w:val="32"/>
          <w:szCs w:val="32"/>
          <w:highlight w:val="none"/>
          <w:lang w:eastAsia="zh-CN" w:bidi="ar"/>
        </w:rPr>
        <w:t>对自治区本级和各地州</w:t>
      </w:r>
      <w:r>
        <w:rPr>
          <w:rFonts w:hint="eastAsia" w:ascii="Times New Roman" w:hAnsi="Times New Roman" w:eastAsia="仿宋" w:cs="Times New Roman"/>
          <w:bCs/>
          <w:color w:val="auto"/>
          <w:spacing w:val="-6"/>
          <w:kern w:val="0"/>
          <w:sz w:val="32"/>
          <w:szCs w:val="32"/>
          <w:highlight w:val="none"/>
          <w:lang w:val="en-US" w:eastAsia="zh-CN" w:bidi="ar"/>
        </w:rPr>
        <w:t>评价情况</w:t>
      </w:r>
      <w:r>
        <w:rPr>
          <w:rFonts w:hint="default" w:ascii="Times New Roman" w:hAnsi="Times New Roman" w:eastAsia="仿宋" w:cs="Times New Roman"/>
          <w:bCs/>
          <w:color w:val="auto"/>
          <w:spacing w:val="-6"/>
          <w:kern w:val="0"/>
          <w:sz w:val="32"/>
          <w:szCs w:val="32"/>
          <w:highlight w:val="none"/>
          <w:lang w:bidi="ar"/>
        </w:rPr>
        <w:t>进行汇总</w:t>
      </w:r>
      <w:r>
        <w:rPr>
          <w:rFonts w:hint="eastAsia" w:ascii="Times New Roman" w:hAnsi="Times New Roman" w:eastAsia="仿宋" w:cs="Times New Roman"/>
          <w:bCs/>
          <w:color w:val="auto"/>
          <w:spacing w:val="-6"/>
          <w:kern w:val="0"/>
          <w:sz w:val="32"/>
          <w:szCs w:val="32"/>
          <w:highlight w:val="none"/>
          <w:lang w:eastAsia="zh-CN" w:bidi="ar"/>
        </w:rPr>
        <w:t>，</w:t>
      </w:r>
      <w:r>
        <w:rPr>
          <w:rFonts w:hint="default" w:ascii="Times New Roman" w:hAnsi="Times New Roman" w:eastAsia="仿宋" w:cs="Times New Roman"/>
          <w:bCs/>
          <w:color w:val="auto"/>
          <w:spacing w:val="-6"/>
          <w:kern w:val="0"/>
          <w:sz w:val="32"/>
          <w:szCs w:val="32"/>
          <w:highlight w:val="none"/>
          <w:lang w:bidi="ar"/>
        </w:rPr>
        <w:t>并在自治区公共资源交易网进行公示。</w:t>
      </w:r>
    </w:p>
    <w:p w14:paraId="7C5B07CF">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color w:val="auto"/>
          <w:spacing w:val="0"/>
          <w:kern w:val="0"/>
          <w:sz w:val="32"/>
          <w:szCs w:val="32"/>
          <w:highlight w:val="none"/>
          <w:lang w:bidi="ar"/>
        </w:rPr>
      </w:pPr>
      <w:r>
        <w:rPr>
          <w:rFonts w:hint="default" w:ascii="Times New Roman" w:hAnsi="Times New Roman" w:eastAsia="仿宋" w:cs="Times New Roman"/>
          <w:bCs/>
          <w:color w:val="auto"/>
          <w:spacing w:val="0"/>
          <w:kern w:val="0"/>
          <w:sz w:val="32"/>
          <w:szCs w:val="32"/>
          <w:highlight w:val="none"/>
          <w:lang w:bidi="ar"/>
        </w:rPr>
        <w:t>年度评价结果于积分周期结束后</w:t>
      </w:r>
      <w:r>
        <w:rPr>
          <w:rFonts w:hint="eastAsia" w:ascii="Times New Roman" w:hAnsi="Times New Roman" w:eastAsia="仿宋" w:cs="Times New Roman"/>
          <w:bCs/>
          <w:color w:val="auto"/>
          <w:spacing w:val="0"/>
          <w:kern w:val="0"/>
          <w:sz w:val="32"/>
          <w:szCs w:val="32"/>
          <w:highlight w:val="none"/>
          <w:lang w:val="en-US" w:eastAsia="zh-CN" w:bidi="ar"/>
        </w:rPr>
        <w:t>3</w:t>
      </w:r>
      <w:r>
        <w:rPr>
          <w:rFonts w:hint="default" w:ascii="Times New Roman" w:hAnsi="Times New Roman" w:eastAsia="仿宋" w:cs="Times New Roman"/>
          <w:bCs/>
          <w:color w:val="auto"/>
          <w:spacing w:val="0"/>
          <w:kern w:val="0"/>
          <w:sz w:val="32"/>
          <w:szCs w:val="32"/>
          <w:highlight w:val="none"/>
          <w:lang w:bidi="ar"/>
        </w:rPr>
        <w:t>0个工作日内在自治区公共资源交易平台公示。</w:t>
      </w:r>
    </w:p>
    <w:p w14:paraId="70F3D2AD">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color w:val="auto"/>
          <w:spacing w:val="0"/>
          <w:kern w:val="0"/>
          <w:sz w:val="32"/>
          <w:szCs w:val="32"/>
          <w:highlight w:val="none"/>
          <w:lang w:bidi="ar"/>
        </w:rPr>
      </w:pPr>
      <w:r>
        <w:rPr>
          <w:rFonts w:hint="default" w:ascii="Times New Roman" w:hAnsi="Times New Roman" w:eastAsia="仿宋" w:cs="Times New Roman"/>
          <w:bCs/>
          <w:color w:val="auto"/>
          <w:spacing w:val="0"/>
          <w:kern w:val="0"/>
          <w:sz w:val="32"/>
          <w:szCs w:val="32"/>
          <w:highlight w:val="none"/>
          <w:lang w:bidi="ar"/>
        </w:rPr>
        <w:t>评价公示信息应同步至</w:t>
      </w:r>
      <w:r>
        <w:rPr>
          <w:rFonts w:hint="eastAsia" w:ascii="Times New Roman" w:hAnsi="Times New Roman" w:eastAsia="仿宋" w:cs="Times New Roman"/>
          <w:bCs/>
          <w:color w:val="auto"/>
          <w:spacing w:val="0"/>
          <w:kern w:val="0"/>
          <w:sz w:val="32"/>
          <w:szCs w:val="32"/>
          <w:highlight w:val="none"/>
          <w:lang w:val="en-US" w:eastAsia="zh-CN" w:bidi="ar"/>
        </w:rPr>
        <w:t>自治区发展改革及有关</w:t>
      </w:r>
      <w:r>
        <w:rPr>
          <w:rFonts w:hint="eastAsia" w:ascii="Times New Roman" w:hAnsi="Times New Roman" w:eastAsia="仿宋" w:cs="Times New Roman"/>
          <w:bCs/>
          <w:color w:val="auto"/>
          <w:spacing w:val="0"/>
          <w:kern w:val="0"/>
          <w:sz w:val="32"/>
          <w:szCs w:val="32"/>
          <w:highlight w:val="none"/>
          <w:lang w:eastAsia="zh-CN" w:bidi="ar"/>
        </w:rPr>
        <w:t>行政监督管理部门</w:t>
      </w:r>
      <w:r>
        <w:rPr>
          <w:rFonts w:hint="default" w:ascii="Times New Roman" w:hAnsi="Times New Roman" w:eastAsia="仿宋" w:cs="Times New Roman"/>
          <w:bCs/>
          <w:color w:val="auto"/>
          <w:spacing w:val="0"/>
          <w:kern w:val="0"/>
          <w:sz w:val="32"/>
          <w:szCs w:val="32"/>
          <w:highlight w:val="none"/>
          <w:lang w:bidi="ar"/>
        </w:rPr>
        <w:t>。</w:t>
      </w:r>
    </w:p>
    <w:p w14:paraId="7658C30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十四</w:t>
      </w:r>
      <w:r>
        <w:rPr>
          <w:rFonts w:hint="default" w:ascii="仿宋" w:hAnsi="仿宋" w:eastAsia="仿宋" w:cs="仿宋"/>
          <w:b/>
          <w:bCs/>
          <w:color w:val="auto"/>
          <w:sz w:val="32"/>
          <w:szCs w:val="32"/>
          <w:highlight w:val="none"/>
        </w:rPr>
        <w:t>条</w:t>
      </w:r>
      <w:r>
        <w:rPr>
          <w:rFonts w:hint="default" w:ascii="Times New Roman" w:hAnsi="Times New Roman" w:eastAsia="仿宋" w:cs="Times New Roman"/>
          <w:color w:val="auto"/>
          <w:sz w:val="32"/>
          <w:szCs w:val="32"/>
          <w:highlight w:val="none"/>
        </w:rPr>
        <w:t xml:space="preserve"> </w:t>
      </w:r>
      <w:r>
        <w:rPr>
          <w:rFonts w:hint="eastAsia" w:ascii="Times New Roman" w:hAnsi="Times New Roman" w:eastAsia="仿宋" w:cs="Times New Roman"/>
          <w:color w:val="auto"/>
          <w:sz w:val="32"/>
          <w:szCs w:val="32"/>
          <w:highlight w:val="none"/>
          <w:lang w:eastAsia="zh-CN"/>
        </w:rPr>
        <w:t>专家</w:t>
      </w:r>
      <w:r>
        <w:rPr>
          <w:rFonts w:hint="default" w:ascii="Times New Roman" w:hAnsi="Times New Roman" w:eastAsia="仿宋" w:cs="Times New Roman"/>
          <w:color w:val="auto"/>
          <w:sz w:val="32"/>
          <w:szCs w:val="32"/>
          <w:highlight w:val="none"/>
        </w:rPr>
        <w:t>认为评价信息与事实不符的</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可以自收到评价信息之日起</w:t>
      </w:r>
      <w:r>
        <w:rPr>
          <w:rFonts w:hint="eastAsia"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个工作日内</w:t>
      </w:r>
      <w:r>
        <w:rPr>
          <w:rFonts w:hint="eastAsia" w:ascii="Times New Roman" w:hAnsi="Times New Roman" w:eastAsia="仿宋" w:cs="Times New Roman"/>
          <w:color w:val="auto"/>
          <w:sz w:val="32"/>
          <w:szCs w:val="32"/>
          <w:highlight w:val="none"/>
          <w:lang w:val="en-US" w:eastAsia="zh-CN"/>
        </w:rPr>
        <w:t>以书面形式或</w:t>
      </w:r>
      <w:r>
        <w:rPr>
          <w:rFonts w:hint="default" w:ascii="Times New Roman" w:hAnsi="Times New Roman" w:eastAsia="仿宋" w:cs="Times New Roman"/>
          <w:color w:val="auto"/>
          <w:sz w:val="32"/>
          <w:szCs w:val="32"/>
          <w:highlight w:val="none"/>
        </w:rPr>
        <w:t>通过</w:t>
      </w:r>
      <w:r>
        <w:rPr>
          <w:rFonts w:hint="eastAsia" w:ascii="Times New Roman" w:hAnsi="Times New Roman" w:eastAsia="仿宋" w:cs="Times New Roman"/>
          <w:color w:val="auto"/>
          <w:sz w:val="32"/>
          <w:szCs w:val="32"/>
          <w:highlight w:val="none"/>
          <w:lang w:eastAsia="zh-CN"/>
        </w:rPr>
        <w:t>专家评价</w:t>
      </w:r>
      <w:r>
        <w:rPr>
          <w:rFonts w:hint="eastAsia" w:ascii="Times New Roman" w:hAnsi="Times New Roman" w:eastAsia="仿宋" w:cs="Times New Roman"/>
          <w:color w:val="auto"/>
          <w:sz w:val="32"/>
          <w:szCs w:val="32"/>
          <w:highlight w:val="none"/>
          <w:lang w:val="en-US" w:eastAsia="zh-CN"/>
        </w:rPr>
        <w:t>有关</w:t>
      </w:r>
      <w:r>
        <w:rPr>
          <w:rFonts w:hint="default" w:ascii="Times New Roman" w:hAnsi="Times New Roman" w:eastAsia="仿宋" w:cs="Times New Roman"/>
          <w:color w:val="auto"/>
          <w:sz w:val="32"/>
          <w:szCs w:val="32"/>
          <w:highlight w:val="none"/>
        </w:rPr>
        <w:t>系统</w:t>
      </w:r>
      <w:r>
        <w:rPr>
          <w:rFonts w:hint="eastAsia" w:ascii="Times New Roman" w:hAnsi="Times New Roman" w:eastAsia="仿宋" w:cs="Times New Roman"/>
          <w:color w:val="auto"/>
          <w:sz w:val="32"/>
          <w:szCs w:val="32"/>
          <w:highlight w:val="none"/>
          <w:lang w:eastAsia="zh-CN"/>
        </w:rPr>
        <w:t>向评价主体</w:t>
      </w:r>
      <w:r>
        <w:rPr>
          <w:rFonts w:hint="default" w:ascii="Times New Roman" w:hAnsi="Times New Roman" w:eastAsia="仿宋" w:cs="Times New Roman"/>
          <w:color w:val="auto"/>
          <w:sz w:val="32"/>
          <w:szCs w:val="32"/>
          <w:highlight w:val="none"/>
        </w:rPr>
        <w:t>提出异议</w:t>
      </w:r>
      <w:r>
        <w:rPr>
          <w:rFonts w:hint="eastAsia" w:ascii="Times New Roman" w:hAnsi="Times New Roman" w:eastAsia="仿宋" w:cs="Times New Roman"/>
          <w:color w:val="auto"/>
          <w:sz w:val="32"/>
          <w:szCs w:val="32"/>
          <w:highlight w:val="none"/>
          <w:lang w:eastAsia="zh-CN"/>
        </w:rPr>
        <w:t>，专家</w:t>
      </w:r>
      <w:r>
        <w:rPr>
          <w:rFonts w:hint="default" w:ascii="Times New Roman" w:hAnsi="Times New Roman" w:eastAsia="仿宋" w:cs="Times New Roman"/>
          <w:color w:val="auto"/>
          <w:sz w:val="32"/>
          <w:szCs w:val="32"/>
          <w:highlight w:val="none"/>
        </w:rPr>
        <w:t>提出异议应当提供异议相关证据材料或者证据查询渠道。</w:t>
      </w:r>
      <w:r>
        <w:rPr>
          <w:rFonts w:hint="eastAsia" w:ascii="Times New Roman" w:hAnsi="Times New Roman" w:eastAsia="仿宋" w:cs="Times New Roman"/>
          <w:color w:val="auto"/>
          <w:sz w:val="32"/>
          <w:szCs w:val="32"/>
          <w:highlight w:val="none"/>
          <w:lang w:eastAsia="zh-CN"/>
        </w:rPr>
        <w:t>评价</w:t>
      </w:r>
      <w:r>
        <w:rPr>
          <w:rFonts w:hint="default" w:ascii="Times New Roman" w:hAnsi="Times New Roman" w:eastAsia="仿宋" w:cs="Times New Roman"/>
          <w:color w:val="auto"/>
          <w:sz w:val="32"/>
          <w:szCs w:val="32"/>
          <w:highlight w:val="none"/>
        </w:rPr>
        <w:t>主体原则上应当在收到异议后10个工作日内作出答复。</w:t>
      </w:r>
    </w:p>
    <w:p w14:paraId="2D45A6D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bCs/>
          <w:color w:val="auto"/>
          <w:sz w:val="32"/>
          <w:szCs w:val="32"/>
          <w:highlight w:val="none"/>
        </w:rPr>
        <w:t>第十</w:t>
      </w:r>
      <w:r>
        <w:rPr>
          <w:rFonts w:hint="eastAsia" w:ascii="仿宋" w:hAnsi="仿宋" w:eastAsia="仿宋" w:cs="仿宋"/>
          <w:b/>
          <w:bCs/>
          <w:color w:val="auto"/>
          <w:sz w:val="32"/>
          <w:szCs w:val="32"/>
          <w:highlight w:val="none"/>
          <w:lang w:val="en-US" w:eastAsia="zh-CN"/>
        </w:rPr>
        <w:t>五</w:t>
      </w:r>
      <w:r>
        <w:rPr>
          <w:rFonts w:hint="default" w:ascii="仿宋" w:hAnsi="仿宋" w:eastAsia="仿宋" w:cs="仿宋"/>
          <w:b/>
          <w:bCs/>
          <w:color w:val="auto"/>
          <w:sz w:val="32"/>
          <w:szCs w:val="32"/>
          <w:highlight w:val="none"/>
        </w:rPr>
        <w:t xml:space="preserve">条 </w:t>
      </w:r>
      <w:r>
        <w:rPr>
          <w:rFonts w:hint="default" w:ascii="Times New Roman" w:hAnsi="Times New Roman" w:eastAsia="仿宋" w:cs="Times New Roman"/>
          <w:color w:val="auto"/>
          <w:sz w:val="32"/>
          <w:szCs w:val="32"/>
          <w:highlight w:val="none"/>
        </w:rPr>
        <w:t>有关行政监督管理部</w:t>
      </w:r>
      <w:r>
        <w:rPr>
          <w:rFonts w:hint="eastAsia" w:ascii="Times New Roman" w:hAnsi="Times New Roman" w:eastAsia="仿宋" w:cs="Times New Roman"/>
          <w:color w:val="auto"/>
          <w:sz w:val="32"/>
          <w:szCs w:val="32"/>
          <w:highlight w:val="none"/>
          <w:lang w:val="en-US" w:eastAsia="zh-CN"/>
        </w:rPr>
        <w:t>门</w:t>
      </w:r>
      <w:r>
        <w:rPr>
          <w:rFonts w:hint="default" w:ascii="Times New Roman" w:hAnsi="Times New Roman" w:eastAsia="仿宋" w:cs="Times New Roman"/>
          <w:color w:val="auto"/>
          <w:sz w:val="32"/>
          <w:szCs w:val="32"/>
          <w:highlight w:val="none"/>
        </w:rPr>
        <w:t>在日常监管工作中，发现专家有下列情形之一的，按本办法规定进行追加评价：</w:t>
      </w:r>
    </w:p>
    <w:p w14:paraId="5FACC1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（一）未被评价的不良行为情形，并依法查实的；</w:t>
      </w:r>
    </w:p>
    <w:p w14:paraId="113687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（二）被投诉</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举报的违法违规行为，并依法查实的；</w:t>
      </w:r>
    </w:p>
    <w:p w14:paraId="5FE698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（三）相关国家机关在对交易项目进行专项检查、抽查、督导等日常监督工作中，发现的违法违规行为；</w:t>
      </w:r>
    </w:p>
    <w:p w14:paraId="771876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（四）本办法规定的未被评价的</w:t>
      </w:r>
      <w:r>
        <w:rPr>
          <w:rFonts w:hint="eastAsia" w:ascii="Times New Roman" w:hAnsi="Times New Roman" w:eastAsia="仿宋" w:cs="Times New Roman"/>
          <w:color w:val="auto"/>
          <w:sz w:val="32"/>
          <w:szCs w:val="32"/>
          <w:highlight w:val="none"/>
          <w:lang w:val="en-US" w:eastAsia="zh-CN"/>
        </w:rPr>
        <w:t>其他</w:t>
      </w:r>
      <w:r>
        <w:rPr>
          <w:rFonts w:hint="default" w:ascii="Times New Roman" w:hAnsi="Times New Roman" w:eastAsia="仿宋" w:cs="Times New Roman"/>
          <w:color w:val="auto"/>
          <w:sz w:val="32"/>
          <w:szCs w:val="32"/>
          <w:highlight w:val="none"/>
        </w:rPr>
        <w:t>情形。</w:t>
      </w:r>
    </w:p>
    <w:p w14:paraId="39F4E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有关行政监督管理部门作出的追加评价结果，应推送本级交易中心统一汇总。</w:t>
      </w:r>
    </w:p>
    <w:p w14:paraId="558F61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十六</w:t>
      </w:r>
      <w:r>
        <w:rPr>
          <w:rFonts w:hint="default" w:ascii="仿宋" w:hAnsi="仿宋" w:eastAsia="仿宋" w:cs="仿宋"/>
          <w:b/>
          <w:bCs/>
          <w:color w:val="auto"/>
          <w:sz w:val="32"/>
          <w:szCs w:val="32"/>
          <w:highlight w:val="none"/>
        </w:rPr>
        <w:t>条</w:t>
      </w:r>
      <w:r>
        <w:rPr>
          <w:rFonts w:hint="default" w:ascii="Times New Roman" w:hAnsi="Times New Roman" w:eastAsia="仿宋" w:cs="Times New Roman"/>
          <w:color w:val="auto"/>
          <w:sz w:val="32"/>
          <w:szCs w:val="32"/>
          <w:highlight w:val="none"/>
        </w:rPr>
        <w:t xml:space="preserve"> </w:t>
      </w:r>
      <w:r>
        <w:rPr>
          <w:rFonts w:hint="eastAsia" w:ascii="Times New Roman" w:hAnsi="Times New Roman" w:eastAsia="仿宋" w:cs="Times New Roman"/>
          <w:color w:val="auto"/>
          <w:sz w:val="32"/>
          <w:szCs w:val="32"/>
          <w:highlight w:val="none"/>
          <w:lang w:eastAsia="zh-CN"/>
        </w:rPr>
        <w:t>交易中心</w:t>
      </w:r>
      <w:r>
        <w:rPr>
          <w:rFonts w:hint="default" w:ascii="Times New Roman" w:hAnsi="Times New Roman" w:eastAsia="仿宋" w:cs="Times New Roman"/>
          <w:color w:val="auto"/>
          <w:sz w:val="32"/>
          <w:szCs w:val="32"/>
          <w:highlight w:val="none"/>
        </w:rPr>
        <w:t>和</w:t>
      </w:r>
      <w:r>
        <w:rPr>
          <w:rFonts w:hint="eastAsia" w:ascii="Times New Roman" w:hAnsi="Times New Roman" w:eastAsia="仿宋" w:cs="Times New Roman"/>
          <w:color w:val="auto"/>
          <w:sz w:val="32"/>
          <w:szCs w:val="32"/>
          <w:highlight w:val="none"/>
          <w:lang w:eastAsia="zh-CN"/>
        </w:rPr>
        <w:t>评价</w:t>
      </w:r>
      <w:r>
        <w:rPr>
          <w:rFonts w:hint="default" w:ascii="Times New Roman" w:hAnsi="Times New Roman" w:eastAsia="仿宋" w:cs="Times New Roman"/>
          <w:color w:val="auto"/>
          <w:sz w:val="32"/>
          <w:szCs w:val="32"/>
          <w:highlight w:val="none"/>
        </w:rPr>
        <w:t>主体不按照本办法规定记录、报送</w:t>
      </w:r>
      <w:r>
        <w:rPr>
          <w:rFonts w:hint="eastAsia" w:ascii="Times New Roman" w:hAnsi="Times New Roman" w:eastAsia="仿宋" w:cs="Times New Roman"/>
          <w:color w:val="auto"/>
          <w:sz w:val="32"/>
          <w:szCs w:val="32"/>
          <w:highlight w:val="none"/>
          <w:lang w:eastAsia="zh-CN"/>
        </w:rPr>
        <w:t>专家评价</w:t>
      </w:r>
      <w:r>
        <w:rPr>
          <w:rFonts w:hint="default" w:ascii="Times New Roman" w:hAnsi="Times New Roman" w:eastAsia="仿宋" w:cs="Times New Roman"/>
          <w:color w:val="auto"/>
          <w:sz w:val="32"/>
          <w:szCs w:val="32"/>
          <w:highlight w:val="none"/>
        </w:rPr>
        <w:t>相关情况的</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或者不按照本办法规定受理、处理</w:t>
      </w:r>
      <w:r>
        <w:rPr>
          <w:rFonts w:hint="eastAsia" w:ascii="Times New Roman" w:hAnsi="Times New Roman" w:eastAsia="仿宋" w:cs="Times New Roman"/>
          <w:color w:val="auto"/>
          <w:sz w:val="32"/>
          <w:szCs w:val="32"/>
          <w:highlight w:val="none"/>
          <w:lang w:eastAsia="zh-CN"/>
        </w:rPr>
        <w:t>专家评价</w:t>
      </w:r>
      <w:r>
        <w:rPr>
          <w:rFonts w:hint="default" w:ascii="Times New Roman" w:hAnsi="Times New Roman" w:eastAsia="仿宋" w:cs="Times New Roman"/>
          <w:color w:val="auto"/>
          <w:sz w:val="32"/>
          <w:szCs w:val="32"/>
          <w:highlight w:val="none"/>
        </w:rPr>
        <w:t>异议的</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由自治区</w:t>
      </w:r>
      <w:r>
        <w:rPr>
          <w:rFonts w:hint="eastAsia" w:ascii="Times New Roman" w:hAnsi="Times New Roman" w:eastAsia="仿宋" w:cs="Times New Roman"/>
          <w:color w:val="auto"/>
          <w:sz w:val="32"/>
          <w:szCs w:val="32"/>
          <w:highlight w:val="none"/>
          <w:lang w:val="en-US" w:eastAsia="zh-CN"/>
        </w:rPr>
        <w:t>相关行政监督管理部门、</w:t>
      </w:r>
      <w:r>
        <w:rPr>
          <w:rFonts w:hint="default" w:ascii="Times New Roman" w:hAnsi="Times New Roman" w:eastAsia="仿宋" w:cs="Times New Roman"/>
          <w:color w:val="auto"/>
          <w:sz w:val="32"/>
          <w:szCs w:val="32"/>
          <w:highlight w:val="none"/>
        </w:rPr>
        <w:t>交易中心督促改正。</w:t>
      </w:r>
    </w:p>
    <w:p w14:paraId="44F2CAB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bCs/>
          <w:color w:val="auto"/>
          <w:spacing w:val="-6"/>
          <w:kern w:val="0"/>
          <w:sz w:val="32"/>
          <w:szCs w:val="32"/>
          <w:highlight w:val="none"/>
          <w:lang w:bidi="ar"/>
        </w:rPr>
      </w:pPr>
      <w:r>
        <w:rPr>
          <w:rFonts w:hint="default" w:ascii="仿宋" w:hAnsi="仿宋" w:eastAsia="仿宋" w:cs="仿宋"/>
          <w:b/>
          <w:bCs/>
          <w:color w:val="auto"/>
          <w:sz w:val="32"/>
          <w:szCs w:val="32"/>
          <w:highlight w:val="none"/>
        </w:rPr>
        <w:t>第十</w:t>
      </w:r>
      <w:r>
        <w:rPr>
          <w:rFonts w:hint="eastAsia" w:ascii="仿宋" w:hAnsi="仿宋" w:eastAsia="仿宋" w:cs="仿宋"/>
          <w:b/>
          <w:bCs/>
          <w:color w:val="auto"/>
          <w:sz w:val="32"/>
          <w:szCs w:val="32"/>
          <w:highlight w:val="none"/>
          <w:lang w:val="en-US" w:eastAsia="zh-CN"/>
        </w:rPr>
        <w:t>七</w:t>
      </w:r>
      <w:r>
        <w:rPr>
          <w:rFonts w:hint="default" w:ascii="仿宋" w:hAnsi="仿宋" w:eastAsia="仿宋" w:cs="仿宋"/>
          <w:b/>
          <w:bCs/>
          <w:color w:val="auto"/>
          <w:sz w:val="32"/>
          <w:szCs w:val="32"/>
          <w:highlight w:val="none"/>
        </w:rPr>
        <w:t>条</w:t>
      </w:r>
      <w:r>
        <w:rPr>
          <w:rFonts w:hint="eastAsia" w:ascii="仿宋" w:hAnsi="仿宋" w:eastAsia="仿宋" w:cs="仿宋"/>
          <w:b/>
          <w:bCs/>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参与</w:t>
      </w:r>
      <w:r>
        <w:rPr>
          <w:rFonts w:hint="eastAsia" w:ascii="Times New Roman" w:hAnsi="Times New Roman" w:eastAsia="仿宋" w:cs="Times New Roman"/>
          <w:color w:val="auto"/>
          <w:sz w:val="32"/>
          <w:szCs w:val="32"/>
          <w:highlight w:val="none"/>
          <w:lang w:eastAsia="zh-CN"/>
        </w:rPr>
        <w:t>评价</w:t>
      </w:r>
      <w:r>
        <w:rPr>
          <w:rFonts w:hint="default" w:ascii="Times New Roman" w:hAnsi="Times New Roman" w:eastAsia="仿宋" w:cs="Times New Roman"/>
          <w:color w:val="auto"/>
          <w:sz w:val="32"/>
          <w:szCs w:val="32"/>
          <w:highlight w:val="none"/>
        </w:rPr>
        <w:t>各方主体工作人员弄虚作假、滥用职权、玩忽职守、徇私舞弊的</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按照有关规定严肃处理。涉嫌违法违纪的</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bCs/>
          <w:color w:val="auto"/>
          <w:spacing w:val="-6"/>
          <w:kern w:val="0"/>
          <w:sz w:val="32"/>
          <w:szCs w:val="32"/>
          <w:highlight w:val="none"/>
          <w:lang w:eastAsia="zh-CN" w:bidi="ar"/>
        </w:rPr>
        <w:t>移送纪检监察机关或者司法机关处理</w:t>
      </w:r>
      <w:r>
        <w:rPr>
          <w:rFonts w:hint="default" w:ascii="Times New Roman" w:hAnsi="Times New Roman" w:eastAsia="仿宋" w:cs="Times New Roman"/>
          <w:bCs/>
          <w:color w:val="auto"/>
          <w:spacing w:val="-6"/>
          <w:kern w:val="0"/>
          <w:sz w:val="32"/>
          <w:szCs w:val="32"/>
          <w:highlight w:val="none"/>
          <w:lang w:bidi="ar"/>
        </w:rPr>
        <w:t>。</w:t>
      </w:r>
    </w:p>
    <w:p w14:paraId="387CD9D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 w:hAnsi="仿宋" w:eastAsia="仿宋" w:cs="仿宋"/>
          <w:b w:val="0"/>
          <w:bCs w:val="0"/>
          <w:color w:val="auto"/>
          <w:sz w:val="32"/>
          <w:szCs w:val="32"/>
          <w:highlight w:val="none"/>
          <w:lang w:val="en-US" w:eastAsia="zh-CN"/>
        </w:rPr>
      </w:pPr>
      <w:r>
        <w:rPr>
          <w:rFonts w:hint="default"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十八</w:t>
      </w:r>
      <w:r>
        <w:rPr>
          <w:rFonts w:hint="default" w:ascii="仿宋" w:hAnsi="仿宋" w:eastAsia="仿宋" w:cs="仿宋"/>
          <w:b/>
          <w:bCs/>
          <w:color w:val="auto"/>
          <w:sz w:val="32"/>
          <w:szCs w:val="32"/>
          <w:highlight w:val="none"/>
        </w:rPr>
        <w:t>条</w:t>
      </w:r>
      <w:r>
        <w:rPr>
          <w:rFonts w:hint="eastAsia" w:ascii="仿宋" w:hAnsi="仿宋" w:eastAsia="仿宋" w:cs="仿宋"/>
          <w:b/>
          <w:bCs/>
          <w:color w:val="auto"/>
          <w:sz w:val="32"/>
          <w:szCs w:val="32"/>
          <w:highlight w:val="none"/>
          <w:lang w:val="en-US" w:eastAsia="zh-CN"/>
        </w:rPr>
        <w:t xml:space="preserve"> </w:t>
      </w:r>
      <w:r>
        <w:rPr>
          <w:rFonts w:hint="default" w:ascii="仿宋" w:hAnsi="仿宋" w:eastAsia="仿宋" w:cs="仿宋"/>
          <w:b w:val="0"/>
          <w:bCs w:val="0"/>
          <w:color w:val="auto"/>
          <w:sz w:val="32"/>
          <w:szCs w:val="32"/>
          <w:highlight w:val="none"/>
        </w:rPr>
        <w:t>如有本</w:t>
      </w:r>
      <w:r>
        <w:rPr>
          <w:rFonts w:hint="eastAsia" w:ascii="仿宋" w:hAnsi="仿宋" w:eastAsia="仿宋" w:cs="仿宋"/>
          <w:b w:val="0"/>
          <w:bCs w:val="0"/>
          <w:color w:val="auto"/>
          <w:sz w:val="32"/>
          <w:szCs w:val="32"/>
          <w:highlight w:val="none"/>
          <w:lang w:val="en-US" w:eastAsia="zh-CN"/>
        </w:rPr>
        <w:t>办法</w:t>
      </w:r>
      <w:r>
        <w:rPr>
          <w:rFonts w:hint="default" w:ascii="仿宋" w:hAnsi="仿宋" w:eastAsia="仿宋" w:cs="仿宋"/>
          <w:b w:val="0"/>
          <w:bCs w:val="0"/>
          <w:color w:val="auto"/>
          <w:sz w:val="32"/>
          <w:szCs w:val="32"/>
          <w:highlight w:val="none"/>
        </w:rPr>
        <w:t>所列</w:t>
      </w:r>
      <w:r>
        <w:rPr>
          <w:rFonts w:hint="eastAsia" w:ascii="仿宋" w:hAnsi="仿宋" w:eastAsia="仿宋" w:cs="仿宋"/>
          <w:b w:val="0"/>
          <w:bCs w:val="0"/>
          <w:color w:val="auto"/>
          <w:sz w:val="32"/>
          <w:szCs w:val="32"/>
          <w:highlight w:val="none"/>
          <w:lang w:val="en-US" w:eastAsia="zh-CN"/>
        </w:rPr>
        <w:t>评价行为</w:t>
      </w:r>
      <w:r>
        <w:rPr>
          <w:rFonts w:hint="default" w:ascii="仿宋" w:hAnsi="仿宋" w:eastAsia="仿宋" w:cs="仿宋"/>
          <w:b w:val="0"/>
          <w:bCs w:val="0"/>
          <w:color w:val="auto"/>
          <w:sz w:val="32"/>
          <w:szCs w:val="32"/>
          <w:highlight w:val="none"/>
        </w:rPr>
        <w:t>之外</w:t>
      </w:r>
      <w:r>
        <w:rPr>
          <w:rFonts w:hint="eastAsia" w:ascii="仿宋" w:hAnsi="仿宋" w:eastAsia="仿宋" w:cs="仿宋"/>
          <w:b w:val="0"/>
          <w:bCs w:val="0"/>
          <w:color w:val="auto"/>
          <w:sz w:val="32"/>
          <w:szCs w:val="32"/>
          <w:highlight w:val="none"/>
          <w:lang w:val="en-US" w:eastAsia="zh-CN"/>
        </w:rPr>
        <w:t>的</w:t>
      </w:r>
      <w:r>
        <w:rPr>
          <w:rFonts w:hint="default" w:ascii="仿宋" w:hAnsi="仿宋" w:eastAsia="仿宋" w:cs="仿宋"/>
          <w:b w:val="0"/>
          <w:bCs w:val="0"/>
          <w:color w:val="auto"/>
          <w:sz w:val="32"/>
          <w:szCs w:val="32"/>
          <w:highlight w:val="none"/>
        </w:rPr>
        <w:t>，参照本办法有关规定执行。</w:t>
      </w:r>
      <w:r>
        <w:rPr>
          <w:rFonts w:hint="eastAsia" w:ascii="仿宋" w:hAnsi="仿宋" w:eastAsia="仿宋" w:cs="仿宋"/>
          <w:b w:val="0"/>
          <w:bCs w:val="0"/>
          <w:color w:val="auto"/>
          <w:sz w:val="32"/>
          <w:szCs w:val="32"/>
          <w:highlight w:val="none"/>
          <w:lang w:eastAsia="zh-CN"/>
        </w:rPr>
        <w:t>法律法规</w:t>
      </w:r>
      <w:r>
        <w:rPr>
          <w:rFonts w:hint="default" w:ascii="仿宋" w:hAnsi="仿宋" w:eastAsia="仿宋" w:cs="仿宋"/>
          <w:b w:val="0"/>
          <w:bCs w:val="0"/>
          <w:color w:val="auto"/>
          <w:sz w:val="32"/>
          <w:szCs w:val="32"/>
          <w:highlight w:val="none"/>
        </w:rPr>
        <w:t>、规章、规范性文件对</w:t>
      </w:r>
      <w:r>
        <w:rPr>
          <w:rFonts w:hint="eastAsia" w:ascii="仿宋" w:hAnsi="仿宋" w:eastAsia="仿宋" w:cs="仿宋"/>
          <w:b w:val="0"/>
          <w:bCs w:val="0"/>
          <w:color w:val="auto"/>
          <w:sz w:val="32"/>
          <w:szCs w:val="32"/>
          <w:highlight w:val="none"/>
          <w:lang w:val="en-US" w:eastAsia="zh-CN"/>
        </w:rPr>
        <w:t>专家</w:t>
      </w:r>
      <w:r>
        <w:rPr>
          <w:rFonts w:hint="default" w:ascii="仿宋" w:hAnsi="仿宋" w:eastAsia="仿宋" w:cs="仿宋"/>
          <w:b w:val="0"/>
          <w:bCs w:val="0"/>
          <w:color w:val="auto"/>
          <w:sz w:val="32"/>
          <w:szCs w:val="32"/>
          <w:highlight w:val="none"/>
        </w:rPr>
        <w:t>另有要求的，</w:t>
      </w:r>
      <w:r>
        <w:rPr>
          <w:rFonts w:hint="default" w:ascii="仿宋" w:hAnsi="仿宋" w:eastAsia="仿宋" w:cs="仿宋"/>
          <w:b w:val="0"/>
          <w:bCs w:val="0"/>
          <w:color w:val="auto"/>
          <w:sz w:val="32"/>
          <w:szCs w:val="32"/>
          <w:highlight w:val="none"/>
          <w:lang w:val="en-US" w:eastAsia="zh-CN"/>
        </w:rPr>
        <w:t>从其规定。</w:t>
      </w:r>
    </w:p>
    <w:p w14:paraId="2E23E30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第十九条</w:t>
      </w:r>
      <w:r>
        <w:rPr>
          <w:rFonts w:hint="eastAsia" w:ascii="仿宋" w:hAnsi="仿宋" w:eastAsia="仿宋" w:cs="仿宋"/>
          <w:b w:val="0"/>
          <w:bCs w:val="0"/>
          <w:color w:val="auto"/>
          <w:sz w:val="32"/>
          <w:szCs w:val="32"/>
          <w:highlight w:val="none"/>
          <w:lang w:val="en-US" w:eastAsia="zh-CN"/>
        </w:rPr>
        <w:t xml:space="preserve"> 符合国家法律法规、规章以及行政规范性文件规定，由项目发起方自行选定的专家在我区参加交易项目的评标评审活动，其评价考核参照本办法执行。</w:t>
      </w:r>
    </w:p>
    <w:p w14:paraId="2F5AC1B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二十</w:t>
      </w:r>
      <w:r>
        <w:rPr>
          <w:rFonts w:hint="default" w:ascii="仿宋" w:hAnsi="仿宋" w:eastAsia="仿宋" w:cs="仿宋"/>
          <w:b/>
          <w:bCs/>
          <w:color w:val="auto"/>
          <w:sz w:val="32"/>
          <w:szCs w:val="32"/>
          <w:highlight w:val="none"/>
        </w:rPr>
        <w:t xml:space="preserve">条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本办法由自治区公共资源交易中心负责解释。</w:t>
      </w:r>
    </w:p>
    <w:p w14:paraId="1F509F2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二十一</w:t>
      </w:r>
      <w:r>
        <w:rPr>
          <w:rFonts w:hint="default" w:ascii="仿宋" w:hAnsi="仿宋" w:eastAsia="仿宋" w:cs="仿宋"/>
          <w:b/>
          <w:bCs/>
          <w:color w:val="auto"/>
          <w:sz w:val="32"/>
          <w:szCs w:val="32"/>
          <w:highlight w:val="none"/>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本办法自</w:t>
      </w:r>
      <w:r>
        <w:rPr>
          <w:rFonts w:hint="eastAsia" w:ascii="Times New Roman" w:hAnsi="Times New Roman" w:eastAsia="仿宋" w:cs="Times New Roman"/>
          <w:color w:val="auto"/>
          <w:sz w:val="32"/>
          <w:szCs w:val="32"/>
          <w:highlight w:val="none"/>
          <w:lang w:val="en-US" w:eastAsia="zh-CN"/>
        </w:rPr>
        <w:t>发布之日起</w:t>
      </w:r>
      <w:r>
        <w:rPr>
          <w:rFonts w:hint="default" w:ascii="Times New Roman" w:hAnsi="Times New Roman" w:eastAsia="仿宋" w:cs="Times New Roman"/>
          <w:color w:val="auto"/>
          <w:sz w:val="32"/>
          <w:szCs w:val="32"/>
          <w:highlight w:val="none"/>
        </w:rPr>
        <w:t>施行。</w:t>
      </w:r>
    </w:p>
    <w:p w14:paraId="3165B9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rPr>
      </w:pPr>
    </w:p>
    <w:p w14:paraId="5293A41B">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附</w:t>
      </w:r>
      <w:r>
        <w:rPr>
          <w:rFonts w:hint="eastAsia" w:ascii="仿宋" w:hAnsi="仿宋" w:eastAsia="仿宋" w:cs="仿宋"/>
          <w:b w:val="0"/>
          <w:bCs w:val="0"/>
          <w:color w:val="auto"/>
          <w:sz w:val="32"/>
          <w:szCs w:val="32"/>
          <w:highlight w:val="none"/>
          <w:lang w:val="en-US" w:eastAsia="zh-CN"/>
        </w:rPr>
        <w:t>件：自治区公共资源交易评标评审专家现场履职情况评价记录表</w:t>
      </w:r>
    </w:p>
    <w:p w14:paraId="692563B5">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200"/>
        <w:textAlignment w:val="auto"/>
        <w:rPr>
          <w:rFonts w:hint="eastAsia" w:ascii="Times New Roman" w:hAnsi="Times New Roman" w:eastAsia="仿宋" w:cs="Times New Roman"/>
          <w:color w:val="auto"/>
          <w:w w:val="95"/>
          <w:sz w:val="32"/>
          <w:szCs w:val="32"/>
          <w:highlight w:val="none"/>
          <w:lang w:eastAsia="zh-CN"/>
        </w:rPr>
      </w:pPr>
    </w:p>
    <w:p w14:paraId="6EFD533B">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200"/>
        <w:textAlignment w:val="auto"/>
        <w:rPr>
          <w:rFonts w:hint="eastAsia" w:ascii="Times New Roman" w:hAnsi="Times New Roman" w:eastAsia="仿宋" w:cs="Times New Roman"/>
          <w:color w:val="auto"/>
          <w:w w:val="95"/>
          <w:sz w:val="32"/>
          <w:szCs w:val="32"/>
          <w:highlight w:val="none"/>
          <w:lang w:eastAsia="zh-CN"/>
        </w:rPr>
      </w:pPr>
    </w:p>
    <w:p w14:paraId="5F5F5D21">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200"/>
        <w:textAlignment w:val="auto"/>
        <w:rPr>
          <w:rFonts w:hint="eastAsia" w:ascii="Times New Roman" w:hAnsi="Times New Roman" w:eastAsia="仿宋" w:cs="Times New Roman"/>
          <w:color w:val="auto"/>
          <w:w w:val="95"/>
          <w:sz w:val="32"/>
          <w:szCs w:val="32"/>
          <w:highlight w:val="none"/>
          <w:lang w:eastAsia="zh-CN"/>
        </w:rPr>
      </w:pPr>
    </w:p>
    <w:p w14:paraId="13C10372">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200"/>
        <w:textAlignment w:val="auto"/>
        <w:rPr>
          <w:rFonts w:hint="eastAsia" w:ascii="Times New Roman" w:hAnsi="Times New Roman" w:eastAsia="仿宋" w:cs="Times New Roman"/>
          <w:color w:val="auto"/>
          <w:w w:val="95"/>
          <w:sz w:val="32"/>
          <w:szCs w:val="32"/>
          <w:highlight w:val="none"/>
          <w:lang w:eastAsia="zh-CN"/>
        </w:rPr>
      </w:pPr>
    </w:p>
    <w:p w14:paraId="09125312">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200"/>
        <w:textAlignment w:val="auto"/>
        <w:rPr>
          <w:rFonts w:hint="eastAsia" w:ascii="Times New Roman" w:hAnsi="Times New Roman" w:eastAsia="仿宋" w:cs="Times New Roman"/>
          <w:color w:val="auto"/>
          <w:w w:val="95"/>
          <w:sz w:val="32"/>
          <w:szCs w:val="32"/>
          <w:highlight w:val="none"/>
          <w:lang w:eastAsia="zh-CN"/>
        </w:rPr>
      </w:pPr>
    </w:p>
    <w:p w14:paraId="2891DE22">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200"/>
        <w:textAlignment w:val="auto"/>
        <w:rPr>
          <w:rFonts w:hint="eastAsia" w:ascii="Times New Roman" w:hAnsi="Times New Roman" w:eastAsia="仿宋" w:cs="Times New Roman"/>
          <w:color w:val="auto"/>
          <w:w w:val="95"/>
          <w:sz w:val="32"/>
          <w:szCs w:val="32"/>
          <w:highlight w:val="none"/>
          <w:lang w:eastAsia="zh-CN"/>
        </w:rPr>
      </w:pPr>
    </w:p>
    <w:p w14:paraId="10CE0F3E">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200"/>
        <w:textAlignment w:val="auto"/>
        <w:rPr>
          <w:rFonts w:hint="eastAsia" w:ascii="Times New Roman" w:hAnsi="Times New Roman" w:eastAsia="仿宋" w:cs="Times New Roman"/>
          <w:color w:val="auto"/>
          <w:w w:val="95"/>
          <w:sz w:val="32"/>
          <w:szCs w:val="32"/>
          <w:highlight w:val="none"/>
          <w:lang w:eastAsia="zh-CN"/>
        </w:rPr>
      </w:pPr>
    </w:p>
    <w:p w14:paraId="2F187D79">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bCs/>
          <w:color w:val="000000"/>
          <w:spacing w:val="-6"/>
          <w:kern w:val="0"/>
          <w:sz w:val="32"/>
          <w:szCs w:val="32"/>
          <w:highlight w:val="none"/>
          <w:lang w:bidi="ar"/>
        </w:rPr>
        <w:t>附</w:t>
      </w:r>
      <w:r>
        <w:rPr>
          <w:rFonts w:hint="eastAsia" w:ascii="Times New Roman" w:hAnsi="Times New Roman" w:eastAsia="黑体" w:cs="Times New Roman"/>
          <w:bCs/>
          <w:color w:val="000000"/>
          <w:spacing w:val="-6"/>
          <w:kern w:val="0"/>
          <w:sz w:val="32"/>
          <w:szCs w:val="32"/>
          <w:highlight w:val="none"/>
          <w:lang w:val="en-US" w:eastAsia="zh-CN" w:bidi="ar"/>
        </w:rPr>
        <w:t>件</w:t>
      </w:r>
    </w:p>
    <w:p w14:paraId="28CCA4A0">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bCs/>
          <w:color w:val="000000"/>
          <w:spacing w:val="-6"/>
          <w:sz w:val="44"/>
          <w:szCs w:val="44"/>
          <w:highlight w:val="none"/>
        </w:rPr>
      </w:pPr>
      <w:r>
        <w:rPr>
          <w:rFonts w:hint="default" w:ascii="Times New Roman" w:hAnsi="Times New Roman" w:eastAsia="方正小标宋简体" w:cs="Times New Roman"/>
          <w:bCs/>
          <w:color w:val="000000"/>
          <w:spacing w:val="-6"/>
          <w:sz w:val="44"/>
          <w:szCs w:val="44"/>
          <w:highlight w:val="none"/>
        </w:rPr>
        <w:t>自治区公共资源交易评标</w:t>
      </w:r>
      <w:r>
        <w:rPr>
          <w:rFonts w:hint="eastAsia" w:ascii="Times New Roman" w:hAnsi="Times New Roman" w:eastAsia="方正小标宋简体" w:cs="Times New Roman"/>
          <w:bCs/>
          <w:color w:val="000000"/>
          <w:spacing w:val="-6"/>
          <w:sz w:val="44"/>
          <w:szCs w:val="44"/>
          <w:highlight w:val="none"/>
          <w:lang w:val="en-US" w:eastAsia="zh-CN"/>
        </w:rPr>
        <w:t>评审</w:t>
      </w:r>
      <w:r>
        <w:rPr>
          <w:rFonts w:hint="default" w:ascii="Times New Roman" w:hAnsi="Times New Roman" w:eastAsia="方正小标宋简体" w:cs="Times New Roman"/>
          <w:bCs/>
          <w:color w:val="000000"/>
          <w:spacing w:val="-6"/>
          <w:sz w:val="44"/>
          <w:szCs w:val="44"/>
          <w:highlight w:val="none"/>
        </w:rPr>
        <w:t>专家</w:t>
      </w:r>
    </w:p>
    <w:p w14:paraId="05B45969">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bCs/>
          <w:color w:val="000000"/>
          <w:spacing w:val="-6"/>
          <w:sz w:val="44"/>
          <w:szCs w:val="44"/>
          <w:highlight w:val="none"/>
        </w:rPr>
      </w:pPr>
      <w:r>
        <w:rPr>
          <w:rFonts w:hint="eastAsia" w:ascii="Times New Roman" w:hAnsi="Times New Roman" w:eastAsia="方正小标宋简体" w:cs="Times New Roman"/>
          <w:bCs/>
          <w:color w:val="000000"/>
          <w:spacing w:val="-6"/>
          <w:sz w:val="44"/>
          <w:szCs w:val="44"/>
          <w:highlight w:val="none"/>
          <w:lang w:eastAsia="zh-CN"/>
        </w:rPr>
        <w:t>现场</w:t>
      </w:r>
      <w:r>
        <w:rPr>
          <w:rFonts w:hint="eastAsia" w:ascii="Times New Roman" w:hAnsi="Times New Roman" w:eastAsia="方正小标宋简体" w:cs="Times New Roman"/>
          <w:bCs/>
          <w:color w:val="000000"/>
          <w:spacing w:val="-6"/>
          <w:sz w:val="44"/>
          <w:szCs w:val="44"/>
          <w:highlight w:val="none"/>
          <w:lang w:val="en-US" w:eastAsia="zh-CN"/>
        </w:rPr>
        <w:t>履职情况</w:t>
      </w:r>
      <w:r>
        <w:rPr>
          <w:rFonts w:hint="eastAsia" w:ascii="Times New Roman" w:hAnsi="Times New Roman" w:eastAsia="方正小标宋简体" w:cs="Times New Roman"/>
          <w:bCs/>
          <w:color w:val="000000"/>
          <w:spacing w:val="-6"/>
          <w:sz w:val="44"/>
          <w:szCs w:val="44"/>
          <w:highlight w:val="none"/>
          <w:lang w:eastAsia="zh-CN"/>
        </w:rPr>
        <w:t>评价</w:t>
      </w:r>
      <w:r>
        <w:rPr>
          <w:rFonts w:hint="default" w:ascii="Times New Roman" w:hAnsi="Times New Roman" w:eastAsia="方正小标宋简体" w:cs="Times New Roman"/>
          <w:bCs/>
          <w:color w:val="000000"/>
          <w:spacing w:val="-6"/>
          <w:sz w:val="44"/>
          <w:szCs w:val="44"/>
          <w:highlight w:val="none"/>
        </w:rPr>
        <w:t>记录表</w:t>
      </w:r>
    </w:p>
    <w:p w14:paraId="4CB1D05B">
      <w:pPr>
        <w:pStyle w:val="15"/>
        <w:keepNext w:val="0"/>
        <w:keepLines w:val="0"/>
        <w:pageBreakBefore w:val="0"/>
        <w:widowControl w:val="0"/>
        <w:kinsoku/>
        <w:wordWrap/>
        <w:overflowPunct/>
        <w:topLinePunct w:val="0"/>
        <w:autoSpaceDE/>
        <w:autoSpaceDN/>
        <w:bidi w:val="0"/>
        <w:spacing w:after="0" w:line="560" w:lineRule="exact"/>
        <w:ind w:left="0" w:leftChars="0"/>
        <w:textAlignment w:val="auto"/>
        <w:rPr>
          <w:rFonts w:hint="default" w:ascii="Times New Roman" w:hAnsi="Times New Roman" w:cs="Times New Roman"/>
          <w:sz w:val="28"/>
          <w:szCs w:val="28"/>
          <w:highlight w:val="none"/>
        </w:rPr>
      </w:pPr>
    </w:p>
    <w:p w14:paraId="44E339DF">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Times New Roman" w:hAnsi="Times New Roman" w:eastAsia="仿宋" w:cs="Times New Roman"/>
          <w:bCs/>
          <w:color w:val="000000"/>
          <w:spacing w:val="-6"/>
          <w:sz w:val="28"/>
          <w:szCs w:val="28"/>
          <w:highlight w:val="none"/>
          <w:u w:val="single"/>
          <w:lang w:val="en-US" w:eastAsia="zh-CN"/>
        </w:rPr>
      </w:pPr>
      <w:r>
        <w:rPr>
          <w:rFonts w:hint="default" w:ascii="Times New Roman" w:hAnsi="Times New Roman" w:eastAsia="仿宋" w:cs="Times New Roman"/>
          <w:bCs/>
          <w:color w:val="000000"/>
          <w:spacing w:val="-6"/>
          <w:sz w:val="28"/>
          <w:szCs w:val="28"/>
          <w:highlight w:val="none"/>
        </w:rPr>
        <w:t>专家姓名：</w:t>
      </w:r>
      <w:r>
        <w:rPr>
          <w:rFonts w:hint="default" w:ascii="Times New Roman" w:hAnsi="Times New Roman" w:eastAsia="仿宋" w:cs="Times New Roman"/>
          <w:bCs/>
          <w:color w:val="000000"/>
          <w:spacing w:val="-6"/>
          <w:sz w:val="28"/>
          <w:szCs w:val="28"/>
          <w:highlight w:val="none"/>
          <w:u w:val="single"/>
        </w:rPr>
        <w:t xml:space="preserve">    </w:t>
      </w:r>
      <w:r>
        <w:rPr>
          <w:rFonts w:hint="eastAsia" w:ascii="Times New Roman" w:hAnsi="Times New Roman" w:eastAsia="仿宋" w:cs="Times New Roman"/>
          <w:bCs/>
          <w:color w:val="000000"/>
          <w:spacing w:val="-6"/>
          <w:sz w:val="28"/>
          <w:szCs w:val="28"/>
          <w:highlight w:val="none"/>
          <w:u w:val="single"/>
          <w:lang w:val="en-US" w:eastAsia="zh-CN"/>
        </w:rPr>
        <w:t xml:space="preserve">              </w:t>
      </w:r>
    </w:p>
    <w:p w14:paraId="12711989">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 w:cs="Times New Roman"/>
          <w:bCs/>
          <w:color w:val="000000"/>
          <w:spacing w:val="-6"/>
          <w:sz w:val="28"/>
          <w:szCs w:val="28"/>
          <w:highlight w:val="none"/>
        </w:rPr>
      </w:pPr>
      <w:r>
        <w:rPr>
          <w:rFonts w:hint="default" w:ascii="Times New Roman" w:hAnsi="Times New Roman" w:eastAsia="仿宋" w:cs="Times New Roman"/>
          <w:bCs/>
          <w:color w:val="000000"/>
          <w:spacing w:val="-6"/>
          <w:sz w:val="28"/>
          <w:szCs w:val="28"/>
          <w:highlight w:val="none"/>
        </w:rPr>
        <w:t>项目名称</w:t>
      </w:r>
      <w:r>
        <w:rPr>
          <w:rFonts w:hint="eastAsia" w:ascii="Times New Roman" w:hAnsi="Times New Roman" w:eastAsia="仿宋" w:cs="Times New Roman"/>
          <w:bCs/>
          <w:color w:val="000000"/>
          <w:spacing w:val="-6"/>
          <w:sz w:val="28"/>
          <w:szCs w:val="28"/>
          <w:highlight w:val="none"/>
          <w:lang w:val="en-US" w:eastAsia="zh-CN"/>
        </w:rPr>
        <w:t>及项目编号</w:t>
      </w:r>
      <w:r>
        <w:rPr>
          <w:rFonts w:hint="default" w:ascii="Times New Roman" w:hAnsi="Times New Roman" w:eastAsia="仿宋" w:cs="Times New Roman"/>
          <w:bCs/>
          <w:color w:val="000000"/>
          <w:spacing w:val="-6"/>
          <w:sz w:val="28"/>
          <w:szCs w:val="28"/>
          <w:highlight w:val="none"/>
        </w:rPr>
        <w:t>：</w:t>
      </w:r>
      <w:r>
        <w:rPr>
          <w:rFonts w:hint="default" w:ascii="Times New Roman" w:hAnsi="Times New Roman" w:eastAsia="仿宋" w:cs="Times New Roman"/>
          <w:bCs/>
          <w:color w:val="000000"/>
          <w:spacing w:val="-6"/>
          <w:sz w:val="28"/>
          <w:szCs w:val="28"/>
          <w:highlight w:val="none"/>
          <w:u w:val="single"/>
        </w:rPr>
        <w:t xml:space="preserve">                  </w:t>
      </w:r>
      <w:r>
        <w:rPr>
          <w:rFonts w:hint="eastAsia" w:ascii="Times New Roman" w:hAnsi="Times New Roman" w:eastAsia="仿宋" w:cs="Times New Roman"/>
          <w:bCs/>
          <w:color w:val="000000"/>
          <w:spacing w:val="-6"/>
          <w:sz w:val="28"/>
          <w:szCs w:val="28"/>
          <w:highlight w:val="none"/>
          <w:u w:val="single"/>
          <w:lang w:val="en-US" w:eastAsia="zh-CN"/>
        </w:rPr>
        <w:t xml:space="preserve">                </w:t>
      </w:r>
      <w:r>
        <w:rPr>
          <w:rFonts w:hint="default" w:ascii="Times New Roman" w:hAnsi="Times New Roman" w:eastAsia="仿宋" w:cs="Times New Roman"/>
          <w:bCs/>
          <w:color w:val="000000"/>
          <w:spacing w:val="-6"/>
          <w:sz w:val="28"/>
          <w:szCs w:val="28"/>
          <w:highlight w:val="none"/>
          <w:u w:val="single"/>
        </w:rPr>
        <w:t xml:space="preserve">         </w:t>
      </w:r>
      <w:r>
        <w:rPr>
          <w:rFonts w:hint="default" w:ascii="Times New Roman" w:hAnsi="Times New Roman" w:eastAsia="仿宋" w:cs="Times New Roman"/>
          <w:bCs/>
          <w:color w:val="000000"/>
          <w:spacing w:val="-6"/>
          <w:sz w:val="28"/>
          <w:szCs w:val="28"/>
          <w:highlight w:val="none"/>
        </w:rPr>
        <w:t xml:space="preserve">   </w:t>
      </w:r>
    </w:p>
    <w:p w14:paraId="0E02224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 w:hAnsi="仿宋" w:eastAsia="仿宋" w:cs="仿宋"/>
          <w:bCs/>
          <w:color w:val="000000"/>
          <w:spacing w:val="-6"/>
          <w:sz w:val="30"/>
          <w:szCs w:val="30"/>
          <w:highlight w:val="none"/>
        </w:rPr>
      </w:pPr>
      <w:r>
        <w:rPr>
          <w:rFonts w:hint="default" w:ascii="Times New Roman" w:hAnsi="Times New Roman" w:eastAsia="仿宋" w:cs="Times New Roman"/>
          <w:bCs/>
          <w:color w:val="000000"/>
          <w:spacing w:val="-6"/>
          <w:sz w:val="28"/>
          <w:szCs w:val="28"/>
          <w:highlight w:val="none"/>
        </w:rPr>
        <w:t>评标</w:t>
      </w:r>
      <w:r>
        <w:rPr>
          <w:rFonts w:hint="eastAsia" w:ascii="Times New Roman" w:hAnsi="Times New Roman" w:eastAsia="仿宋" w:cs="Times New Roman"/>
          <w:bCs/>
          <w:color w:val="000000"/>
          <w:spacing w:val="-6"/>
          <w:sz w:val="28"/>
          <w:szCs w:val="28"/>
          <w:highlight w:val="none"/>
          <w:lang w:val="en-US" w:eastAsia="zh-CN"/>
        </w:rPr>
        <w:t>评审</w:t>
      </w:r>
      <w:r>
        <w:rPr>
          <w:rFonts w:hint="default" w:ascii="Times New Roman" w:hAnsi="Times New Roman" w:eastAsia="仿宋" w:cs="Times New Roman"/>
          <w:bCs/>
          <w:color w:val="000000"/>
          <w:spacing w:val="-6"/>
          <w:sz w:val="28"/>
          <w:szCs w:val="28"/>
          <w:highlight w:val="none"/>
        </w:rPr>
        <w:t>时间：</w:t>
      </w:r>
      <w:r>
        <w:rPr>
          <w:rFonts w:hint="default" w:ascii="Times New Roman" w:hAnsi="Times New Roman" w:eastAsia="仿宋" w:cs="Times New Roman"/>
          <w:bCs/>
          <w:color w:val="000000"/>
          <w:spacing w:val="-6"/>
          <w:sz w:val="28"/>
          <w:szCs w:val="28"/>
          <w:highlight w:val="none"/>
          <w:u w:val="single"/>
        </w:rPr>
        <w:t xml:space="preserve">     </w:t>
      </w:r>
      <w:r>
        <w:rPr>
          <w:rFonts w:hint="default" w:ascii="Times New Roman" w:hAnsi="Times New Roman" w:eastAsia="仿宋" w:cs="Times New Roman"/>
          <w:bCs/>
          <w:color w:val="000000"/>
          <w:spacing w:val="-6"/>
          <w:sz w:val="28"/>
          <w:szCs w:val="28"/>
          <w:highlight w:val="none"/>
        </w:rPr>
        <w:t>年</w:t>
      </w:r>
      <w:r>
        <w:rPr>
          <w:rFonts w:hint="default" w:ascii="Times New Roman" w:hAnsi="Times New Roman" w:eastAsia="仿宋" w:cs="Times New Roman"/>
          <w:bCs/>
          <w:color w:val="000000"/>
          <w:spacing w:val="-6"/>
          <w:sz w:val="28"/>
          <w:szCs w:val="28"/>
          <w:highlight w:val="none"/>
          <w:u w:val="single"/>
        </w:rPr>
        <w:t xml:space="preserve">     </w:t>
      </w:r>
      <w:r>
        <w:rPr>
          <w:rFonts w:hint="default" w:ascii="Times New Roman" w:hAnsi="Times New Roman" w:eastAsia="仿宋" w:cs="Times New Roman"/>
          <w:bCs/>
          <w:color w:val="000000"/>
          <w:spacing w:val="-6"/>
          <w:sz w:val="28"/>
          <w:szCs w:val="28"/>
          <w:highlight w:val="none"/>
        </w:rPr>
        <w:t>月</w:t>
      </w:r>
      <w:r>
        <w:rPr>
          <w:rFonts w:hint="default" w:ascii="Times New Roman" w:hAnsi="Times New Roman" w:eastAsia="仿宋" w:cs="Times New Roman"/>
          <w:bCs/>
          <w:color w:val="000000"/>
          <w:spacing w:val="-6"/>
          <w:sz w:val="28"/>
          <w:szCs w:val="28"/>
          <w:highlight w:val="none"/>
          <w:u w:val="single"/>
        </w:rPr>
        <w:t xml:space="preserve">     </w:t>
      </w:r>
      <w:r>
        <w:rPr>
          <w:rFonts w:hint="default" w:ascii="Times New Roman" w:hAnsi="Times New Roman" w:eastAsia="仿宋" w:cs="Times New Roman"/>
          <w:bCs/>
          <w:color w:val="000000"/>
          <w:spacing w:val="-6"/>
          <w:sz w:val="28"/>
          <w:szCs w:val="28"/>
          <w:highlight w:val="none"/>
        </w:rPr>
        <w:t>日</w:t>
      </w:r>
      <w:r>
        <w:rPr>
          <w:rFonts w:hint="eastAsia" w:ascii="Times New Roman" w:hAnsi="Times New Roman" w:eastAsia="仿宋" w:cs="Times New Roman"/>
          <w:bCs/>
          <w:color w:val="000000"/>
          <w:spacing w:val="-6"/>
          <w:sz w:val="28"/>
          <w:szCs w:val="28"/>
          <w:highlight w:val="none"/>
          <w:lang w:val="en-US" w:eastAsia="zh-CN"/>
        </w:rPr>
        <w:t xml:space="preserve">    </w:t>
      </w:r>
      <w:r>
        <w:rPr>
          <w:rFonts w:hint="eastAsia" w:ascii="仿宋" w:hAnsi="仿宋" w:eastAsia="仿宋" w:cs="仿宋"/>
          <w:bCs/>
          <w:color w:val="000000"/>
          <w:spacing w:val="-6"/>
          <w:sz w:val="30"/>
          <w:szCs w:val="30"/>
          <w:highlight w:val="none"/>
        </w:rPr>
        <w:t>评标</w:t>
      </w:r>
      <w:r>
        <w:rPr>
          <w:rFonts w:hint="eastAsia" w:ascii="仿宋" w:hAnsi="仿宋" w:eastAsia="仿宋" w:cs="仿宋"/>
          <w:bCs/>
          <w:color w:val="000000"/>
          <w:spacing w:val="-6"/>
          <w:sz w:val="30"/>
          <w:szCs w:val="30"/>
          <w:highlight w:val="none"/>
          <w:lang w:val="en-US" w:eastAsia="zh-CN"/>
        </w:rPr>
        <w:t>评审</w:t>
      </w:r>
      <w:r>
        <w:rPr>
          <w:rFonts w:hint="eastAsia" w:ascii="仿宋" w:hAnsi="仿宋" w:eastAsia="仿宋" w:cs="仿宋"/>
          <w:bCs/>
          <w:color w:val="000000"/>
          <w:spacing w:val="-6"/>
          <w:sz w:val="30"/>
          <w:szCs w:val="30"/>
          <w:highlight w:val="none"/>
        </w:rPr>
        <w:t>地点：</w:t>
      </w:r>
      <w:r>
        <w:rPr>
          <w:rFonts w:hint="eastAsia" w:ascii="仿宋" w:hAnsi="仿宋" w:eastAsia="仿宋" w:cs="仿宋"/>
          <w:bCs/>
          <w:color w:val="000000"/>
          <w:spacing w:val="-6"/>
          <w:sz w:val="30"/>
          <w:szCs w:val="30"/>
          <w:highlight w:val="none"/>
          <w:u w:val="single"/>
        </w:rPr>
        <w:t xml:space="preserve">     </w:t>
      </w:r>
      <w:r>
        <w:rPr>
          <w:rFonts w:hint="eastAsia" w:ascii="仿宋" w:hAnsi="仿宋" w:eastAsia="仿宋" w:cs="仿宋"/>
          <w:bCs/>
          <w:color w:val="000000"/>
          <w:spacing w:val="-6"/>
          <w:sz w:val="30"/>
          <w:szCs w:val="30"/>
          <w:highlight w:val="none"/>
        </w:rPr>
        <w:t>号评标室</w:t>
      </w:r>
      <w:r>
        <w:rPr>
          <w:rFonts w:hint="eastAsia" w:ascii="仿宋" w:hAnsi="仿宋" w:eastAsia="仿宋" w:cs="仿宋"/>
          <w:bCs/>
          <w:color w:val="000000"/>
          <w:spacing w:val="-6"/>
          <w:sz w:val="30"/>
          <w:szCs w:val="30"/>
          <w:highlight w:val="none"/>
          <w:lang w:val="en-US" w:eastAsia="zh-CN"/>
        </w:rPr>
        <w:t>/工位</w:t>
      </w:r>
      <w:r>
        <w:rPr>
          <w:rFonts w:hint="eastAsia" w:ascii="仿宋" w:hAnsi="仿宋" w:eastAsia="仿宋" w:cs="仿宋"/>
          <w:bCs/>
          <w:color w:val="000000"/>
          <w:spacing w:val="-6"/>
          <w:sz w:val="30"/>
          <w:szCs w:val="30"/>
          <w:highlight w:val="none"/>
        </w:rPr>
        <w:t xml:space="preserve">  </w:t>
      </w:r>
    </w:p>
    <w:p w14:paraId="05454B65">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仿宋" w:hAnsi="仿宋" w:eastAsia="仿宋" w:cs="仿宋"/>
          <w:bCs/>
          <w:color w:val="000000"/>
          <w:spacing w:val="-6"/>
          <w:sz w:val="30"/>
          <w:szCs w:val="30"/>
          <w:highlight w:val="none"/>
          <w:u w:val="single"/>
        </w:rPr>
      </w:pPr>
      <w:r>
        <w:rPr>
          <w:rFonts w:hint="eastAsia" w:ascii="仿宋" w:hAnsi="仿宋" w:eastAsia="仿宋" w:cs="仿宋"/>
          <w:bCs/>
          <w:color w:val="000000"/>
          <w:spacing w:val="-6"/>
          <w:sz w:val="30"/>
          <w:szCs w:val="30"/>
          <w:highlight w:val="none"/>
        </w:rPr>
        <w:t>填报单位及姓名：</w:t>
      </w:r>
      <w:r>
        <w:rPr>
          <w:rFonts w:hint="eastAsia" w:ascii="仿宋" w:hAnsi="仿宋" w:eastAsia="仿宋" w:cs="仿宋"/>
          <w:bCs/>
          <w:color w:val="000000"/>
          <w:spacing w:val="-6"/>
          <w:sz w:val="30"/>
          <w:szCs w:val="30"/>
          <w:highlight w:val="none"/>
          <w:u w:val="single"/>
        </w:rPr>
        <w:t xml:space="preserve">                     </w:t>
      </w:r>
    </w:p>
    <w:tbl>
      <w:tblPr>
        <w:tblStyle w:val="17"/>
        <w:tblpPr w:leftFromText="180" w:rightFromText="180" w:vertAnchor="text" w:horzAnchor="page" w:tblpX="1730" w:tblpY="294"/>
        <w:tblOverlap w:val="never"/>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5650"/>
        <w:gridCol w:w="833"/>
        <w:gridCol w:w="850"/>
        <w:gridCol w:w="595"/>
      </w:tblGrid>
      <w:tr w14:paraId="3F58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9" w:type="dxa"/>
            <w:noWrap w:val="0"/>
            <w:vAlign w:val="center"/>
          </w:tcPr>
          <w:p w14:paraId="15BD179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u w:val="single"/>
              </w:rPr>
            </w:pPr>
            <w:r>
              <w:rPr>
                <w:rFonts w:hint="eastAsia" w:ascii="仿宋" w:hAnsi="仿宋" w:eastAsia="仿宋" w:cs="仿宋"/>
                <w:bCs/>
                <w:color w:val="000000"/>
                <w:spacing w:val="-6"/>
                <w:kern w:val="0"/>
                <w:sz w:val="30"/>
                <w:szCs w:val="30"/>
                <w:highlight w:val="none"/>
              </w:rPr>
              <w:t>序号</w:t>
            </w:r>
          </w:p>
        </w:tc>
        <w:tc>
          <w:tcPr>
            <w:tcW w:w="5650" w:type="dxa"/>
            <w:noWrap w:val="0"/>
            <w:vAlign w:val="center"/>
          </w:tcPr>
          <w:p w14:paraId="43455B8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lang w:val="en-US" w:eastAsia="zh-CN"/>
              </w:rPr>
              <w:t>评价</w:t>
            </w:r>
            <w:r>
              <w:rPr>
                <w:rFonts w:hint="eastAsia" w:ascii="仿宋" w:hAnsi="仿宋" w:eastAsia="仿宋" w:cs="仿宋"/>
                <w:bCs/>
                <w:color w:val="000000"/>
                <w:spacing w:val="-6"/>
                <w:kern w:val="0"/>
                <w:sz w:val="30"/>
                <w:szCs w:val="30"/>
                <w:highlight w:val="none"/>
              </w:rPr>
              <w:t>内容</w:t>
            </w:r>
          </w:p>
        </w:tc>
        <w:tc>
          <w:tcPr>
            <w:tcW w:w="833" w:type="dxa"/>
            <w:noWrap w:val="0"/>
            <w:vAlign w:val="center"/>
          </w:tcPr>
          <w:p w14:paraId="324FA86A">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扣分标准</w:t>
            </w:r>
          </w:p>
        </w:tc>
        <w:tc>
          <w:tcPr>
            <w:tcW w:w="850" w:type="dxa"/>
            <w:noWrap w:val="0"/>
            <w:vAlign w:val="center"/>
          </w:tcPr>
          <w:p w14:paraId="3676A03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eastAsia="zh-CN"/>
              </w:rPr>
            </w:pPr>
            <w:r>
              <w:rPr>
                <w:rFonts w:hint="eastAsia" w:ascii="仿宋" w:hAnsi="仿宋" w:eastAsia="仿宋" w:cs="仿宋"/>
                <w:bCs/>
                <w:color w:val="000000"/>
                <w:spacing w:val="-6"/>
                <w:kern w:val="0"/>
                <w:sz w:val="30"/>
                <w:szCs w:val="30"/>
                <w:highlight w:val="none"/>
                <w:lang w:eastAsia="zh-CN"/>
              </w:rPr>
              <w:t>扣分情况</w:t>
            </w:r>
          </w:p>
        </w:tc>
        <w:tc>
          <w:tcPr>
            <w:tcW w:w="595" w:type="dxa"/>
            <w:tcBorders>
              <w:bottom w:val="single" w:color="auto" w:sz="4" w:space="0"/>
            </w:tcBorders>
            <w:noWrap w:val="0"/>
            <w:vAlign w:val="center"/>
          </w:tcPr>
          <w:p w14:paraId="21781FFE">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lang w:val="en-US" w:eastAsia="zh-CN"/>
              </w:rPr>
              <w:t>备注</w:t>
            </w:r>
          </w:p>
        </w:tc>
      </w:tr>
      <w:tr w14:paraId="0A69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noWrap w:val="0"/>
            <w:vAlign w:val="center"/>
          </w:tcPr>
          <w:p w14:paraId="3BAAA12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1</w:t>
            </w:r>
          </w:p>
        </w:tc>
        <w:tc>
          <w:tcPr>
            <w:tcW w:w="5650" w:type="dxa"/>
            <w:noWrap w:val="0"/>
            <w:vAlign w:val="center"/>
          </w:tcPr>
          <w:p w14:paraId="168E416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迟到超出规定到达时间的</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lang w:val="en-US" w:eastAsia="zh-CN"/>
              </w:rPr>
              <w:t>超出</w:t>
            </w:r>
            <w:r>
              <w:rPr>
                <w:rFonts w:hint="eastAsia" w:ascii="仿宋" w:hAnsi="仿宋" w:eastAsia="仿宋" w:cs="仿宋"/>
                <w:kern w:val="0"/>
                <w:sz w:val="30"/>
                <w:szCs w:val="30"/>
                <w:highlight w:val="none"/>
              </w:rPr>
              <w:t>通知时间</w:t>
            </w:r>
            <w:r>
              <w:rPr>
                <w:rFonts w:hint="eastAsia" w:ascii="仿宋" w:hAnsi="仿宋" w:eastAsia="仿宋" w:cs="仿宋"/>
                <w:kern w:val="0"/>
                <w:sz w:val="30"/>
                <w:szCs w:val="30"/>
                <w:highlight w:val="none"/>
                <w:lang w:val="en-US" w:eastAsia="zh-CN"/>
              </w:rPr>
              <w:t>15</w:t>
            </w:r>
            <w:r>
              <w:rPr>
                <w:rFonts w:hint="eastAsia" w:ascii="仿宋" w:hAnsi="仿宋" w:eastAsia="仿宋" w:cs="仿宋"/>
                <w:kern w:val="0"/>
                <w:sz w:val="30"/>
                <w:szCs w:val="30"/>
                <w:highlight w:val="none"/>
              </w:rPr>
              <w:t>分钟内</w:t>
            </w:r>
            <w:r>
              <w:rPr>
                <w:rFonts w:hint="eastAsia" w:ascii="仿宋" w:hAnsi="仿宋" w:eastAsia="仿宋" w:cs="仿宋"/>
                <w:kern w:val="0"/>
                <w:sz w:val="30"/>
                <w:szCs w:val="30"/>
                <w:highlight w:val="none"/>
                <w:lang w:eastAsia="zh-CN"/>
              </w:rPr>
              <w:t>）</w:t>
            </w:r>
          </w:p>
        </w:tc>
        <w:tc>
          <w:tcPr>
            <w:tcW w:w="833" w:type="dxa"/>
            <w:noWrap w:val="0"/>
            <w:vAlign w:val="center"/>
          </w:tcPr>
          <w:p w14:paraId="7C0ADE7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eastAsia="zh-CN"/>
              </w:rPr>
            </w:pPr>
            <w:r>
              <w:rPr>
                <w:rFonts w:hint="eastAsia" w:ascii="仿宋" w:hAnsi="仿宋" w:eastAsia="仿宋" w:cs="仿宋"/>
                <w:bCs/>
                <w:color w:val="000000"/>
                <w:spacing w:val="-6"/>
                <w:kern w:val="0"/>
                <w:sz w:val="30"/>
                <w:szCs w:val="30"/>
                <w:highlight w:val="none"/>
                <w:lang w:val="en-US" w:eastAsia="zh-CN"/>
              </w:rPr>
              <w:t>2</w:t>
            </w:r>
          </w:p>
        </w:tc>
        <w:tc>
          <w:tcPr>
            <w:tcW w:w="850" w:type="dxa"/>
            <w:noWrap w:val="0"/>
            <w:vAlign w:val="center"/>
          </w:tcPr>
          <w:p w14:paraId="019E1D3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tcBorders>
              <w:bottom w:val="single" w:color="auto" w:sz="4" w:space="0"/>
            </w:tcBorders>
            <w:noWrap w:val="0"/>
            <w:vAlign w:val="center"/>
          </w:tcPr>
          <w:p w14:paraId="6629F7D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rPr>
            </w:pPr>
          </w:p>
        </w:tc>
      </w:tr>
      <w:tr w14:paraId="1C2B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noWrap w:val="0"/>
            <w:vAlign w:val="center"/>
          </w:tcPr>
          <w:p w14:paraId="696CB99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2</w:t>
            </w:r>
          </w:p>
        </w:tc>
        <w:tc>
          <w:tcPr>
            <w:tcW w:w="5650" w:type="dxa"/>
            <w:shd w:val="clear" w:color="auto" w:fill="auto"/>
            <w:noWrap w:val="0"/>
            <w:vAlign w:val="center"/>
          </w:tcPr>
          <w:p w14:paraId="68BF021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bidi="ar-SA"/>
              </w:rPr>
            </w:pPr>
            <w:r>
              <w:rPr>
                <w:rFonts w:hint="eastAsia" w:ascii="仿宋" w:hAnsi="仿宋" w:eastAsia="仿宋" w:cs="仿宋"/>
                <w:kern w:val="0"/>
                <w:sz w:val="30"/>
                <w:szCs w:val="30"/>
                <w:highlight w:val="none"/>
              </w:rPr>
              <w:t>迟到超出规定到达时间的</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lang w:val="en-US" w:eastAsia="zh-CN"/>
              </w:rPr>
              <w:t>超出</w:t>
            </w:r>
            <w:r>
              <w:rPr>
                <w:rFonts w:hint="eastAsia" w:ascii="仿宋" w:hAnsi="仿宋" w:eastAsia="仿宋" w:cs="仿宋"/>
                <w:kern w:val="0"/>
                <w:sz w:val="30"/>
                <w:szCs w:val="30"/>
                <w:highlight w:val="none"/>
              </w:rPr>
              <w:t>通知时间</w:t>
            </w:r>
            <w:r>
              <w:rPr>
                <w:rFonts w:hint="eastAsia" w:ascii="仿宋" w:hAnsi="仿宋" w:eastAsia="仿宋" w:cs="仿宋"/>
                <w:kern w:val="0"/>
                <w:sz w:val="30"/>
                <w:szCs w:val="30"/>
                <w:highlight w:val="none"/>
                <w:lang w:val="en-US" w:eastAsia="zh-CN"/>
              </w:rPr>
              <w:t>15</w:t>
            </w:r>
            <w:r>
              <w:rPr>
                <w:rFonts w:hint="eastAsia" w:ascii="仿宋" w:hAnsi="仿宋" w:eastAsia="仿宋" w:cs="仿宋"/>
                <w:kern w:val="0"/>
                <w:sz w:val="30"/>
                <w:szCs w:val="30"/>
                <w:highlight w:val="none"/>
              </w:rPr>
              <w:t>分钟</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lang w:val="en-US" w:eastAsia="zh-CN"/>
              </w:rPr>
              <w:t>30分钟</w:t>
            </w:r>
            <w:r>
              <w:rPr>
                <w:rFonts w:hint="eastAsia" w:ascii="仿宋" w:hAnsi="仿宋" w:eastAsia="仿宋" w:cs="仿宋"/>
                <w:kern w:val="0"/>
                <w:sz w:val="30"/>
                <w:szCs w:val="30"/>
                <w:highlight w:val="none"/>
                <w:lang w:eastAsia="zh-CN"/>
              </w:rPr>
              <w:t>）</w:t>
            </w:r>
          </w:p>
        </w:tc>
        <w:tc>
          <w:tcPr>
            <w:tcW w:w="833" w:type="dxa"/>
            <w:shd w:val="clear" w:color="auto" w:fill="auto"/>
            <w:noWrap w:val="0"/>
            <w:vAlign w:val="center"/>
          </w:tcPr>
          <w:p w14:paraId="11772AF6">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lang w:val="en-US" w:eastAsia="zh-CN" w:bidi="ar-SA"/>
              </w:rPr>
              <w:t>5</w:t>
            </w:r>
          </w:p>
        </w:tc>
        <w:tc>
          <w:tcPr>
            <w:tcW w:w="850" w:type="dxa"/>
            <w:noWrap w:val="0"/>
            <w:vAlign w:val="center"/>
          </w:tcPr>
          <w:p w14:paraId="761A5B4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tcBorders>
              <w:bottom w:val="single" w:color="auto" w:sz="4" w:space="0"/>
            </w:tcBorders>
            <w:noWrap w:val="0"/>
            <w:vAlign w:val="center"/>
          </w:tcPr>
          <w:p w14:paraId="3838782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rPr>
            </w:pPr>
          </w:p>
        </w:tc>
      </w:tr>
      <w:tr w14:paraId="55BD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49" w:type="dxa"/>
            <w:shd w:val="clear" w:color="auto" w:fill="auto"/>
            <w:noWrap w:val="0"/>
            <w:vAlign w:val="center"/>
          </w:tcPr>
          <w:p w14:paraId="5C25D29E">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3</w:t>
            </w:r>
          </w:p>
        </w:tc>
        <w:tc>
          <w:tcPr>
            <w:tcW w:w="5650" w:type="dxa"/>
            <w:noWrap w:val="0"/>
            <w:vAlign w:val="center"/>
          </w:tcPr>
          <w:p w14:paraId="13E9431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迟到超出规定到达时间的</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lang w:val="en-US" w:eastAsia="zh-CN"/>
              </w:rPr>
              <w:t>超出</w:t>
            </w:r>
            <w:r>
              <w:rPr>
                <w:rFonts w:hint="eastAsia" w:ascii="仿宋" w:hAnsi="仿宋" w:eastAsia="仿宋" w:cs="仿宋"/>
                <w:kern w:val="0"/>
                <w:sz w:val="30"/>
                <w:szCs w:val="30"/>
                <w:highlight w:val="none"/>
              </w:rPr>
              <w:t>通知时间30分钟</w:t>
            </w:r>
            <w:r>
              <w:rPr>
                <w:rFonts w:hint="eastAsia" w:ascii="仿宋" w:hAnsi="仿宋" w:eastAsia="仿宋" w:cs="仿宋"/>
                <w:kern w:val="0"/>
                <w:sz w:val="30"/>
                <w:szCs w:val="30"/>
                <w:highlight w:val="none"/>
                <w:lang w:val="en-US" w:eastAsia="zh-CN"/>
              </w:rPr>
              <w:t>以上</w:t>
            </w:r>
            <w:r>
              <w:rPr>
                <w:rFonts w:hint="eastAsia" w:ascii="仿宋" w:hAnsi="仿宋" w:eastAsia="仿宋" w:cs="仿宋"/>
                <w:kern w:val="0"/>
                <w:sz w:val="30"/>
                <w:szCs w:val="30"/>
                <w:highlight w:val="none"/>
                <w:lang w:eastAsia="zh-CN"/>
              </w:rPr>
              <w:t>）</w:t>
            </w:r>
          </w:p>
        </w:tc>
        <w:tc>
          <w:tcPr>
            <w:tcW w:w="833" w:type="dxa"/>
            <w:noWrap w:val="0"/>
            <w:vAlign w:val="center"/>
          </w:tcPr>
          <w:p w14:paraId="71AA213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10</w:t>
            </w:r>
          </w:p>
        </w:tc>
        <w:tc>
          <w:tcPr>
            <w:tcW w:w="850" w:type="dxa"/>
            <w:noWrap w:val="0"/>
            <w:vAlign w:val="center"/>
          </w:tcPr>
          <w:p w14:paraId="344F92A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tcBorders>
              <w:top w:val="single" w:color="auto" w:sz="4" w:space="0"/>
            </w:tcBorders>
            <w:noWrap w:val="0"/>
            <w:vAlign w:val="center"/>
          </w:tcPr>
          <w:p w14:paraId="0E7FABDD">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3AC8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33138F8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4</w:t>
            </w:r>
          </w:p>
        </w:tc>
        <w:tc>
          <w:tcPr>
            <w:tcW w:w="5650" w:type="dxa"/>
            <w:noWrap w:val="0"/>
            <w:vAlign w:val="center"/>
          </w:tcPr>
          <w:p w14:paraId="0635FC4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不服从</w:t>
            </w:r>
            <w:r>
              <w:rPr>
                <w:rFonts w:hint="eastAsia" w:ascii="仿宋" w:hAnsi="仿宋" w:eastAsia="仿宋" w:cs="仿宋"/>
                <w:kern w:val="0"/>
                <w:sz w:val="30"/>
                <w:szCs w:val="30"/>
                <w:highlight w:val="none"/>
                <w:lang w:val="en-US" w:eastAsia="zh-CN"/>
              </w:rPr>
              <w:t>公共资源交易中心</w:t>
            </w:r>
            <w:r>
              <w:rPr>
                <w:rFonts w:hint="eastAsia" w:ascii="仿宋" w:hAnsi="仿宋" w:eastAsia="仿宋" w:cs="仿宋"/>
                <w:kern w:val="0"/>
                <w:sz w:val="30"/>
                <w:szCs w:val="30"/>
                <w:highlight w:val="none"/>
              </w:rPr>
              <w:t>工作人员管理</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阻碍评标工作正常进行的</w:t>
            </w:r>
          </w:p>
        </w:tc>
        <w:tc>
          <w:tcPr>
            <w:tcW w:w="833" w:type="dxa"/>
            <w:noWrap w:val="0"/>
            <w:vAlign w:val="center"/>
          </w:tcPr>
          <w:p w14:paraId="4439E34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5</w:t>
            </w:r>
          </w:p>
        </w:tc>
        <w:tc>
          <w:tcPr>
            <w:tcW w:w="850" w:type="dxa"/>
            <w:noWrap w:val="0"/>
            <w:vAlign w:val="center"/>
          </w:tcPr>
          <w:p w14:paraId="4EAE123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D36E1D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322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602E966E">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5</w:t>
            </w:r>
          </w:p>
        </w:tc>
        <w:tc>
          <w:tcPr>
            <w:tcW w:w="5650" w:type="dxa"/>
            <w:noWrap w:val="0"/>
            <w:vAlign w:val="center"/>
          </w:tcPr>
          <w:p w14:paraId="1C1FBAE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确认抽取后无正当理由不参加评标</w:t>
            </w:r>
            <w:r>
              <w:rPr>
                <w:rFonts w:hint="eastAsia" w:ascii="仿宋" w:hAnsi="仿宋" w:eastAsia="仿宋" w:cs="仿宋"/>
                <w:kern w:val="0"/>
                <w:sz w:val="30"/>
                <w:szCs w:val="30"/>
                <w:highlight w:val="none"/>
                <w:lang w:val="en-US" w:eastAsia="zh-CN"/>
              </w:rPr>
              <w:t>评审</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或者联系不上的</w:t>
            </w:r>
          </w:p>
        </w:tc>
        <w:tc>
          <w:tcPr>
            <w:tcW w:w="833" w:type="dxa"/>
            <w:noWrap w:val="0"/>
            <w:vAlign w:val="center"/>
          </w:tcPr>
          <w:p w14:paraId="07FECEA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25</w:t>
            </w:r>
          </w:p>
        </w:tc>
        <w:tc>
          <w:tcPr>
            <w:tcW w:w="850" w:type="dxa"/>
            <w:noWrap w:val="0"/>
            <w:vAlign w:val="center"/>
          </w:tcPr>
          <w:p w14:paraId="73C8984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484CDDE6">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5A96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blHeader/>
        </w:trPr>
        <w:tc>
          <w:tcPr>
            <w:tcW w:w="549" w:type="dxa"/>
            <w:shd w:val="clear" w:color="auto" w:fill="auto"/>
            <w:noWrap w:val="0"/>
            <w:vAlign w:val="center"/>
          </w:tcPr>
          <w:p w14:paraId="218461B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6</w:t>
            </w:r>
          </w:p>
        </w:tc>
        <w:tc>
          <w:tcPr>
            <w:tcW w:w="5650" w:type="dxa"/>
            <w:noWrap w:val="0"/>
            <w:vAlign w:val="center"/>
          </w:tcPr>
          <w:p w14:paraId="2B157A9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0"/>
                <w:sz w:val="30"/>
                <w:szCs w:val="30"/>
                <w:highlight w:val="none"/>
                <w:lang w:val="en-US" w:eastAsia="zh-CN" w:bidi="ar-SA"/>
              </w:rPr>
              <w:t>未按规定存放手机、电脑、智能手表等各种通讯工具，以及无线接收传送设备、电子存储记忆录放设备，</w:t>
            </w:r>
            <w:r>
              <w:rPr>
                <w:rFonts w:hint="eastAsia" w:ascii="仿宋" w:hAnsi="仿宋" w:eastAsia="仿宋" w:cs="仿宋"/>
                <w:kern w:val="2"/>
                <w:sz w:val="30"/>
                <w:szCs w:val="30"/>
                <w:highlight w:val="none"/>
                <w:lang w:val="en-US" w:eastAsia="zh-CN" w:bidi="ar-SA"/>
              </w:rPr>
              <w:t>且带入评标区域的</w:t>
            </w:r>
          </w:p>
        </w:tc>
        <w:tc>
          <w:tcPr>
            <w:tcW w:w="833" w:type="dxa"/>
            <w:noWrap w:val="0"/>
            <w:vAlign w:val="center"/>
          </w:tcPr>
          <w:p w14:paraId="1E657C0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eastAsia="zh-CN"/>
              </w:rPr>
            </w:pPr>
            <w:r>
              <w:rPr>
                <w:rFonts w:hint="eastAsia" w:ascii="仿宋" w:hAnsi="仿宋" w:eastAsia="仿宋" w:cs="仿宋"/>
                <w:bCs/>
                <w:color w:val="000000"/>
                <w:spacing w:val="-6"/>
                <w:kern w:val="0"/>
                <w:sz w:val="30"/>
                <w:szCs w:val="30"/>
                <w:highlight w:val="none"/>
                <w:lang w:val="en-US" w:eastAsia="zh-CN"/>
              </w:rPr>
              <w:t>5</w:t>
            </w:r>
          </w:p>
        </w:tc>
        <w:tc>
          <w:tcPr>
            <w:tcW w:w="850" w:type="dxa"/>
            <w:noWrap w:val="0"/>
            <w:vAlign w:val="center"/>
          </w:tcPr>
          <w:p w14:paraId="06BDF91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7BB6A056">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00F0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trPr>
        <w:tc>
          <w:tcPr>
            <w:tcW w:w="549" w:type="dxa"/>
            <w:shd w:val="clear" w:color="auto" w:fill="auto"/>
            <w:noWrap w:val="0"/>
            <w:vAlign w:val="center"/>
          </w:tcPr>
          <w:p w14:paraId="141D56E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7</w:t>
            </w:r>
          </w:p>
        </w:tc>
        <w:tc>
          <w:tcPr>
            <w:tcW w:w="5650" w:type="dxa"/>
            <w:noWrap w:val="0"/>
            <w:vAlign w:val="center"/>
          </w:tcPr>
          <w:p w14:paraId="295C7FD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2"/>
                <w:sz w:val="30"/>
                <w:szCs w:val="30"/>
                <w:highlight w:val="none"/>
              </w:rPr>
              <w:t>违规利用通讯工具对外联络的</w:t>
            </w:r>
          </w:p>
        </w:tc>
        <w:tc>
          <w:tcPr>
            <w:tcW w:w="833" w:type="dxa"/>
            <w:noWrap w:val="0"/>
            <w:vAlign w:val="center"/>
          </w:tcPr>
          <w:p w14:paraId="3276610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30</w:t>
            </w:r>
          </w:p>
        </w:tc>
        <w:tc>
          <w:tcPr>
            <w:tcW w:w="850" w:type="dxa"/>
            <w:noWrap w:val="0"/>
            <w:vAlign w:val="center"/>
          </w:tcPr>
          <w:p w14:paraId="5B92AC6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495254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5010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2B4E46A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8</w:t>
            </w:r>
          </w:p>
        </w:tc>
        <w:tc>
          <w:tcPr>
            <w:tcW w:w="5650" w:type="dxa"/>
            <w:noWrap w:val="0"/>
            <w:vAlign w:val="center"/>
          </w:tcPr>
          <w:p w14:paraId="486E652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2"/>
                <w:sz w:val="30"/>
                <w:szCs w:val="30"/>
                <w:highlight w:val="none"/>
              </w:rPr>
              <w:t>未经许可离开评标区或擅自进入其他评标区</w:t>
            </w:r>
            <w:r>
              <w:rPr>
                <w:rFonts w:hint="eastAsia" w:ascii="仿宋" w:hAnsi="仿宋" w:eastAsia="仿宋" w:cs="仿宋"/>
                <w:kern w:val="2"/>
                <w:sz w:val="30"/>
                <w:szCs w:val="30"/>
                <w:highlight w:val="none"/>
                <w:lang w:eastAsia="zh-CN"/>
              </w:rPr>
              <w:t>（</w:t>
            </w:r>
            <w:r>
              <w:rPr>
                <w:rFonts w:hint="eastAsia" w:ascii="仿宋" w:hAnsi="仿宋" w:eastAsia="仿宋" w:cs="仿宋"/>
                <w:kern w:val="2"/>
                <w:sz w:val="30"/>
                <w:szCs w:val="30"/>
                <w:highlight w:val="none"/>
                <w:lang w:val="en-US" w:eastAsia="zh-CN"/>
              </w:rPr>
              <w:t>室</w:t>
            </w:r>
            <w:r>
              <w:rPr>
                <w:rFonts w:hint="eastAsia" w:ascii="仿宋" w:hAnsi="仿宋" w:eastAsia="仿宋" w:cs="仿宋"/>
                <w:kern w:val="2"/>
                <w:sz w:val="30"/>
                <w:szCs w:val="30"/>
                <w:highlight w:val="none"/>
                <w:lang w:eastAsia="zh-CN"/>
              </w:rPr>
              <w:t>），</w:t>
            </w:r>
            <w:r>
              <w:rPr>
                <w:rFonts w:hint="eastAsia" w:ascii="仿宋" w:hAnsi="仿宋" w:eastAsia="仿宋" w:cs="仿宋"/>
                <w:kern w:val="2"/>
                <w:sz w:val="30"/>
                <w:szCs w:val="30"/>
                <w:highlight w:val="none"/>
              </w:rPr>
              <w:t>随意走动串门聊天的</w:t>
            </w:r>
          </w:p>
        </w:tc>
        <w:tc>
          <w:tcPr>
            <w:tcW w:w="833" w:type="dxa"/>
            <w:noWrap w:val="0"/>
            <w:vAlign w:val="center"/>
          </w:tcPr>
          <w:p w14:paraId="007CE71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5</w:t>
            </w:r>
          </w:p>
        </w:tc>
        <w:tc>
          <w:tcPr>
            <w:tcW w:w="850" w:type="dxa"/>
            <w:noWrap w:val="0"/>
            <w:vAlign w:val="center"/>
          </w:tcPr>
          <w:p w14:paraId="24BAE87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77C4BF6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5E44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blHeader/>
        </w:trPr>
        <w:tc>
          <w:tcPr>
            <w:tcW w:w="549" w:type="dxa"/>
            <w:shd w:val="clear" w:color="auto" w:fill="auto"/>
            <w:noWrap w:val="0"/>
            <w:vAlign w:val="center"/>
          </w:tcPr>
          <w:p w14:paraId="3D57BBF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9</w:t>
            </w:r>
          </w:p>
        </w:tc>
        <w:tc>
          <w:tcPr>
            <w:tcW w:w="5650" w:type="dxa"/>
            <w:noWrap w:val="0"/>
            <w:vAlign w:val="center"/>
          </w:tcPr>
          <w:p w14:paraId="31052D6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2"/>
                <w:sz w:val="30"/>
                <w:szCs w:val="30"/>
                <w:highlight w:val="none"/>
                <w:lang w:val="en-US" w:eastAsia="zh-CN"/>
              </w:rPr>
            </w:pPr>
            <w:r>
              <w:rPr>
                <w:rFonts w:hint="eastAsia" w:ascii="仿宋" w:hAnsi="仿宋" w:eastAsia="仿宋" w:cs="仿宋"/>
                <w:kern w:val="2"/>
                <w:sz w:val="30"/>
                <w:szCs w:val="30"/>
                <w:highlight w:val="none"/>
                <w:lang w:val="en-US" w:eastAsia="zh-CN"/>
              </w:rPr>
              <w:t>在评标区大声喧哗、交头接耳，经劝阻拒不改正的</w:t>
            </w:r>
          </w:p>
        </w:tc>
        <w:tc>
          <w:tcPr>
            <w:tcW w:w="833" w:type="dxa"/>
            <w:noWrap w:val="0"/>
            <w:vAlign w:val="center"/>
          </w:tcPr>
          <w:p w14:paraId="441B56B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5</w:t>
            </w:r>
          </w:p>
        </w:tc>
        <w:tc>
          <w:tcPr>
            <w:tcW w:w="850" w:type="dxa"/>
            <w:noWrap w:val="0"/>
            <w:vAlign w:val="center"/>
          </w:tcPr>
          <w:p w14:paraId="1D3DFAC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F90D08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4222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blHeader/>
        </w:trPr>
        <w:tc>
          <w:tcPr>
            <w:tcW w:w="549" w:type="dxa"/>
            <w:shd w:val="clear" w:color="auto" w:fill="auto"/>
            <w:noWrap w:val="0"/>
            <w:vAlign w:val="center"/>
          </w:tcPr>
          <w:p w14:paraId="3CF63DD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lang w:val="en-US" w:eastAsia="zh-CN"/>
              </w:rPr>
              <w:t>10</w:t>
            </w:r>
          </w:p>
        </w:tc>
        <w:tc>
          <w:tcPr>
            <w:tcW w:w="5650" w:type="dxa"/>
            <w:noWrap w:val="0"/>
            <w:vAlign w:val="center"/>
          </w:tcPr>
          <w:p w14:paraId="19B3D5A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2"/>
                <w:sz w:val="30"/>
                <w:szCs w:val="30"/>
                <w:highlight w:val="none"/>
              </w:rPr>
              <w:t>评标过程中故意拖延时间</w:t>
            </w:r>
            <w:r>
              <w:rPr>
                <w:rFonts w:hint="eastAsia" w:ascii="仿宋" w:hAnsi="仿宋" w:eastAsia="仿宋" w:cs="仿宋"/>
                <w:kern w:val="0"/>
                <w:sz w:val="30"/>
                <w:szCs w:val="30"/>
                <w:highlight w:val="none"/>
              </w:rPr>
              <w:t>的</w:t>
            </w:r>
            <w:r>
              <w:rPr>
                <w:rFonts w:hint="eastAsia" w:ascii="仿宋" w:hAnsi="仿宋" w:eastAsia="仿宋" w:cs="仿宋"/>
                <w:kern w:val="2"/>
                <w:sz w:val="30"/>
                <w:szCs w:val="30"/>
                <w:highlight w:val="none"/>
              </w:rPr>
              <w:t>（如在评标结果汇总后拖延签字</w:t>
            </w:r>
            <w:r>
              <w:rPr>
                <w:rFonts w:hint="eastAsia" w:ascii="仿宋" w:hAnsi="仿宋" w:eastAsia="仿宋" w:cs="仿宋"/>
                <w:kern w:val="2"/>
                <w:sz w:val="30"/>
                <w:szCs w:val="30"/>
                <w:highlight w:val="none"/>
                <w:lang w:eastAsia="zh-CN"/>
              </w:rPr>
              <w:t>，</w:t>
            </w:r>
            <w:r>
              <w:rPr>
                <w:rFonts w:hint="eastAsia" w:ascii="仿宋" w:hAnsi="仿宋" w:eastAsia="仿宋" w:cs="仿宋"/>
                <w:kern w:val="2"/>
                <w:sz w:val="30"/>
                <w:szCs w:val="30"/>
                <w:highlight w:val="none"/>
              </w:rPr>
              <w:t>或在评审过程中聊天漫谈延长评标用时）</w:t>
            </w:r>
          </w:p>
        </w:tc>
        <w:tc>
          <w:tcPr>
            <w:tcW w:w="833" w:type="dxa"/>
            <w:noWrap w:val="0"/>
            <w:vAlign w:val="center"/>
          </w:tcPr>
          <w:p w14:paraId="5584C26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5</w:t>
            </w:r>
          </w:p>
        </w:tc>
        <w:tc>
          <w:tcPr>
            <w:tcW w:w="850" w:type="dxa"/>
            <w:noWrap w:val="0"/>
            <w:vAlign w:val="center"/>
          </w:tcPr>
          <w:p w14:paraId="165B58E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3493720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7BC3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549" w:type="dxa"/>
            <w:shd w:val="clear" w:color="auto" w:fill="auto"/>
            <w:noWrap w:val="0"/>
            <w:vAlign w:val="center"/>
          </w:tcPr>
          <w:p w14:paraId="1A27D96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1</w:t>
            </w:r>
            <w:r>
              <w:rPr>
                <w:rFonts w:hint="eastAsia" w:ascii="仿宋" w:hAnsi="仿宋" w:eastAsia="仿宋" w:cs="仿宋"/>
                <w:bCs/>
                <w:color w:val="000000"/>
                <w:spacing w:val="-6"/>
                <w:kern w:val="0"/>
                <w:sz w:val="30"/>
                <w:szCs w:val="30"/>
                <w:highlight w:val="none"/>
                <w:lang w:val="en-US" w:eastAsia="zh-CN"/>
              </w:rPr>
              <w:t>1</w:t>
            </w:r>
          </w:p>
        </w:tc>
        <w:tc>
          <w:tcPr>
            <w:tcW w:w="5650" w:type="dxa"/>
            <w:noWrap w:val="0"/>
            <w:vAlign w:val="center"/>
          </w:tcPr>
          <w:p w14:paraId="2E1E15F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2"/>
                <w:sz w:val="30"/>
                <w:szCs w:val="30"/>
                <w:highlight w:val="none"/>
              </w:rPr>
              <w:t>将评标信息与本项目无关人员交流</w:t>
            </w:r>
            <w:r>
              <w:rPr>
                <w:rFonts w:hint="eastAsia" w:ascii="仿宋" w:hAnsi="仿宋" w:eastAsia="仿宋" w:cs="仿宋"/>
                <w:kern w:val="2"/>
                <w:sz w:val="30"/>
                <w:szCs w:val="30"/>
                <w:highlight w:val="none"/>
                <w:lang w:eastAsia="zh-CN"/>
              </w:rPr>
              <w:t>，</w:t>
            </w:r>
            <w:r>
              <w:rPr>
                <w:rFonts w:hint="eastAsia" w:ascii="仿宋" w:hAnsi="仿宋" w:eastAsia="仿宋" w:cs="仿宋"/>
                <w:kern w:val="2"/>
                <w:sz w:val="30"/>
                <w:szCs w:val="30"/>
                <w:highlight w:val="none"/>
              </w:rPr>
              <w:t>泄露评审</w:t>
            </w:r>
            <w:r>
              <w:rPr>
                <w:rFonts w:hint="eastAsia" w:ascii="仿宋" w:hAnsi="仿宋" w:eastAsia="仿宋" w:cs="仿宋"/>
                <w:kern w:val="2"/>
                <w:sz w:val="30"/>
                <w:szCs w:val="30"/>
                <w:highlight w:val="none"/>
                <w:lang w:val="en-US" w:eastAsia="zh-CN"/>
              </w:rPr>
              <w:t>资料</w:t>
            </w:r>
            <w:r>
              <w:rPr>
                <w:rFonts w:hint="eastAsia" w:ascii="仿宋" w:hAnsi="仿宋" w:eastAsia="仿宋" w:cs="仿宋"/>
                <w:kern w:val="2"/>
                <w:sz w:val="30"/>
                <w:szCs w:val="30"/>
                <w:highlight w:val="none"/>
              </w:rPr>
              <w:t>、评审</w:t>
            </w:r>
            <w:r>
              <w:rPr>
                <w:rFonts w:hint="eastAsia" w:ascii="仿宋" w:hAnsi="仿宋" w:eastAsia="仿宋" w:cs="仿宋"/>
                <w:kern w:val="2"/>
                <w:sz w:val="30"/>
                <w:szCs w:val="30"/>
                <w:highlight w:val="none"/>
                <w:lang w:val="en-US" w:eastAsia="zh-CN"/>
              </w:rPr>
              <w:t>相关信息</w:t>
            </w:r>
            <w:r>
              <w:rPr>
                <w:rFonts w:hint="eastAsia" w:ascii="仿宋" w:hAnsi="仿宋" w:eastAsia="仿宋" w:cs="仿宋"/>
                <w:kern w:val="0"/>
                <w:sz w:val="30"/>
                <w:szCs w:val="30"/>
                <w:highlight w:val="none"/>
              </w:rPr>
              <w:t>的</w:t>
            </w:r>
          </w:p>
        </w:tc>
        <w:tc>
          <w:tcPr>
            <w:tcW w:w="833" w:type="dxa"/>
            <w:noWrap w:val="0"/>
            <w:vAlign w:val="center"/>
          </w:tcPr>
          <w:p w14:paraId="13754F5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15</w:t>
            </w:r>
          </w:p>
        </w:tc>
        <w:tc>
          <w:tcPr>
            <w:tcW w:w="850" w:type="dxa"/>
            <w:noWrap w:val="0"/>
            <w:vAlign w:val="center"/>
          </w:tcPr>
          <w:p w14:paraId="74FDD06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69B879A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669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7220BC97">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1</w:t>
            </w:r>
            <w:r>
              <w:rPr>
                <w:rFonts w:hint="eastAsia" w:ascii="仿宋" w:hAnsi="仿宋" w:eastAsia="仿宋" w:cs="仿宋"/>
                <w:bCs/>
                <w:color w:val="000000"/>
                <w:spacing w:val="-6"/>
                <w:kern w:val="0"/>
                <w:sz w:val="30"/>
                <w:szCs w:val="30"/>
                <w:highlight w:val="none"/>
                <w:lang w:val="en-US" w:eastAsia="zh-CN"/>
              </w:rPr>
              <w:t>3</w:t>
            </w:r>
          </w:p>
        </w:tc>
        <w:tc>
          <w:tcPr>
            <w:tcW w:w="5650" w:type="dxa"/>
            <w:noWrap w:val="0"/>
            <w:vAlign w:val="center"/>
          </w:tcPr>
          <w:p w14:paraId="3A49A9E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bidi="ar-SA"/>
              </w:rPr>
            </w:pPr>
            <w:r>
              <w:rPr>
                <w:rFonts w:hint="eastAsia" w:ascii="仿宋" w:hAnsi="仿宋" w:eastAsia="仿宋" w:cs="仿宋"/>
                <w:kern w:val="2"/>
                <w:sz w:val="30"/>
                <w:szCs w:val="30"/>
                <w:highlight w:val="none"/>
                <w:lang w:val="en-US" w:eastAsia="zh-CN" w:bidi="ar-SA"/>
              </w:rPr>
              <w:t>对评标委员会的评标报告持有异议，但不作出书面说明，且拒绝签字</w:t>
            </w:r>
            <w:r>
              <w:rPr>
                <w:rFonts w:hint="eastAsia" w:ascii="仿宋" w:hAnsi="仿宋" w:eastAsia="仿宋" w:cs="仿宋"/>
                <w:kern w:val="0"/>
                <w:sz w:val="30"/>
                <w:szCs w:val="30"/>
                <w:highlight w:val="none"/>
              </w:rPr>
              <w:t>的</w:t>
            </w:r>
          </w:p>
        </w:tc>
        <w:tc>
          <w:tcPr>
            <w:tcW w:w="833" w:type="dxa"/>
            <w:noWrap w:val="0"/>
            <w:vAlign w:val="center"/>
          </w:tcPr>
          <w:p w14:paraId="6C3A35EA">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30</w:t>
            </w:r>
          </w:p>
        </w:tc>
        <w:tc>
          <w:tcPr>
            <w:tcW w:w="850" w:type="dxa"/>
            <w:noWrap w:val="0"/>
            <w:vAlign w:val="center"/>
          </w:tcPr>
          <w:p w14:paraId="5241BD37">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C1323D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rPr>
            </w:pPr>
          </w:p>
        </w:tc>
      </w:tr>
      <w:tr w14:paraId="003B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78B5922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1</w:t>
            </w:r>
            <w:r>
              <w:rPr>
                <w:rFonts w:hint="eastAsia" w:ascii="仿宋" w:hAnsi="仿宋" w:eastAsia="仿宋" w:cs="仿宋"/>
                <w:bCs/>
                <w:color w:val="000000"/>
                <w:spacing w:val="-6"/>
                <w:kern w:val="0"/>
                <w:sz w:val="30"/>
                <w:szCs w:val="30"/>
                <w:highlight w:val="none"/>
                <w:lang w:val="en-US" w:eastAsia="zh-CN"/>
              </w:rPr>
              <w:t>4</w:t>
            </w:r>
          </w:p>
        </w:tc>
        <w:tc>
          <w:tcPr>
            <w:tcW w:w="5650" w:type="dxa"/>
            <w:noWrap w:val="0"/>
            <w:vAlign w:val="center"/>
          </w:tcPr>
          <w:p w14:paraId="0DCDDF9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2"/>
                <w:sz w:val="30"/>
                <w:szCs w:val="30"/>
                <w:highlight w:val="none"/>
              </w:rPr>
              <w:t>超标准索要评标劳务费</w:t>
            </w:r>
            <w:r>
              <w:rPr>
                <w:rFonts w:hint="eastAsia" w:ascii="仿宋" w:hAnsi="仿宋" w:eastAsia="仿宋" w:cs="仿宋"/>
                <w:kern w:val="2"/>
                <w:sz w:val="30"/>
                <w:szCs w:val="30"/>
                <w:highlight w:val="none"/>
                <w:lang w:eastAsia="zh-CN"/>
              </w:rPr>
              <w:t>，</w:t>
            </w:r>
            <w:r>
              <w:rPr>
                <w:rFonts w:hint="eastAsia" w:ascii="仿宋" w:hAnsi="仿宋" w:eastAsia="仿宋" w:cs="仿宋"/>
                <w:kern w:val="2"/>
                <w:sz w:val="30"/>
                <w:szCs w:val="30"/>
                <w:highlight w:val="none"/>
                <w:lang w:val="en-US" w:eastAsia="zh-CN"/>
              </w:rPr>
              <w:t>或以此拒绝或怠于评标的</w:t>
            </w:r>
          </w:p>
        </w:tc>
        <w:tc>
          <w:tcPr>
            <w:tcW w:w="833" w:type="dxa"/>
            <w:noWrap w:val="0"/>
            <w:vAlign w:val="center"/>
          </w:tcPr>
          <w:p w14:paraId="348738C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10</w:t>
            </w:r>
          </w:p>
        </w:tc>
        <w:tc>
          <w:tcPr>
            <w:tcW w:w="850" w:type="dxa"/>
            <w:noWrap w:val="0"/>
            <w:vAlign w:val="center"/>
          </w:tcPr>
          <w:p w14:paraId="203C5C8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FFA9B2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73F2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392EA2DE">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15</w:t>
            </w:r>
          </w:p>
        </w:tc>
        <w:tc>
          <w:tcPr>
            <w:tcW w:w="5650" w:type="dxa"/>
            <w:noWrap w:val="0"/>
            <w:vAlign w:val="center"/>
          </w:tcPr>
          <w:p w14:paraId="25E96C0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2"/>
                <w:sz w:val="30"/>
                <w:szCs w:val="30"/>
                <w:highlight w:val="none"/>
              </w:rPr>
            </w:pPr>
            <w:r>
              <w:rPr>
                <w:rFonts w:hint="eastAsia" w:ascii="仿宋" w:hAnsi="仿宋" w:eastAsia="仿宋" w:cs="仿宋"/>
                <w:kern w:val="2"/>
                <w:sz w:val="30"/>
                <w:szCs w:val="30"/>
                <w:highlight w:val="none"/>
              </w:rPr>
              <w:t>索取或者收受评标劳务报酬以外财物的</w:t>
            </w:r>
          </w:p>
        </w:tc>
        <w:tc>
          <w:tcPr>
            <w:tcW w:w="833" w:type="dxa"/>
            <w:noWrap w:val="0"/>
            <w:vAlign w:val="center"/>
          </w:tcPr>
          <w:p w14:paraId="128AA52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36354FC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64316EF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6D6D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blHeader/>
        </w:trPr>
        <w:tc>
          <w:tcPr>
            <w:tcW w:w="549" w:type="dxa"/>
            <w:shd w:val="clear" w:color="auto" w:fill="auto"/>
            <w:noWrap w:val="0"/>
            <w:vAlign w:val="center"/>
          </w:tcPr>
          <w:p w14:paraId="6B12C98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1</w:t>
            </w:r>
            <w:r>
              <w:rPr>
                <w:rFonts w:hint="eastAsia" w:ascii="仿宋" w:hAnsi="仿宋" w:eastAsia="仿宋" w:cs="仿宋"/>
                <w:bCs/>
                <w:color w:val="000000"/>
                <w:spacing w:val="-6"/>
                <w:kern w:val="0"/>
                <w:sz w:val="30"/>
                <w:szCs w:val="30"/>
                <w:highlight w:val="none"/>
                <w:lang w:val="en-US" w:eastAsia="zh-CN"/>
              </w:rPr>
              <w:t>6</w:t>
            </w:r>
          </w:p>
        </w:tc>
        <w:tc>
          <w:tcPr>
            <w:tcW w:w="5650" w:type="dxa"/>
            <w:noWrap w:val="0"/>
            <w:vAlign w:val="center"/>
          </w:tcPr>
          <w:p w14:paraId="6BE567E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2"/>
                <w:sz w:val="30"/>
                <w:szCs w:val="30"/>
                <w:highlight w:val="none"/>
              </w:rPr>
              <w:t>未完成正常评标工作强行离开的</w:t>
            </w:r>
          </w:p>
        </w:tc>
        <w:tc>
          <w:tcPr>
            <w:tcW w:w="833" w:type="dxa"/>
            <w:noWrap w:val="0"/>
            <w:vAlign w:val="center"/>
          </w:tcPr>
          <w:p w14:paraId="483BDF1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30</w:t>
            </w:r>
          </w:p>
        </w:tc>
        <w:tc>
          <w:tcPr>
            <w:tcW w:w="850" w:type="dxa"/>
            <w:noWrap w:val="0"/>
            <w:vAlign w:val="center"/>
          </w:tcPr>
          <w:p w14:paraId="40CB464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0E33571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64C2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trPr>
        <w:tc>
          <w:tcPr>
            <w:tcW w:w="549" w:type="dxa"/>
            <w:shd w:val="clear" w:color="auto" w:fill="auto"/>
            <w:noWrap w:val="0"/>
            <w:vAlign w:val="center"/>
          </w:tcPr>
          <w:p w14:paraId="2483377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1</w:t>
            </w:r>
            <w:r>
              <w:rPr>
                <w:rFonts w:hint="eastAsia" w:ascii="仿宋" w:hAnsi="仿宋" w:eastAsia="仿宋" w:cs="仿宋"/>
                <w:bCs/>
                <w:color w:val="000000"/>
                <w:spacing w:val="-6"/>
                <w:kern w:val="0"/>
                <w:sz w:val="30"/>
                <w:szCs w:val="30"/>
                <w:highlight w:val="none"/>
                <w:lang w:val="en-US" w:eastAsia="zh-CN"/>
              </w:rPr>
              <w:t>7</w:t>
            </w:r>
          </w:p>
        </w:tc>
        <w:tc>
          <w:tcPr>
            <w:tcW w:w="5650" w:type="dxa"/>
            <w:noWrap w:val="0"/>
            <w:vAlign w:val="center"/>
          </w:tcPr>
          <w:p w14:paraId="29FA3D7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遇到法定回避的情形，应当回避而不主动回避的</w:t>
            </w:r>
          </w:p>
        </w:tc>
        <w:tc>
          <w:tcPr>
            <w:tcW w:w="833" w:type="dxa"/>
            <w:noWrap w:val="0"/>
            <w:vAlign w:val="center"/>
          </w:tcPr>
          <w:p w14:paraId="6713639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25</w:t>
            </w:r>
          </w:p>
        </w:tc>
        <w:tc>
          <w:tcPr>
            <w:tcW w:w="850" w:type="dxa"/>
            <w:noWrap w:val="0"/>
            <w:vAlign w:val="center"/>
          </w:tcPr>
          <w:p w14:paraId="4640ED9D">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CCFC45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1DF0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blHeader/>
        </w:trPr>
        <w:tc>
          <w:tcPr>
            <w:tcW w:w="549" w:type="dxa"/>
            <w:shd w:val="clear" w:color="auto" w:fill="auto"/>
            <w:noWrap w:val="0"/>
            <w:vAlign w:val="center"/>
          </w:tcPr>
          <w:p w14:paraId="553EC5A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18</w:t>
            </w:r>
          </w:p>
        </w:tc>
        <w:tc>
          <w:tcPr>
            <w:tcW w:w="5650" w:type="dxa"/>
            <w:noWrap w:val="0"/>
            <w:vAlign w:val="center"/>
          </w:tcPr>
          <w:p w14:paraId="6F5CA4C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2"/>
                <w:sz w:val="30"/>
                <w:szCs w:val="30"/>
                <w:highlight w:val="none"/>
                <w:lang w:val="en-US" w:eastAsia="zh-CN"/>
              </w:rPr>
            </w:pPr>
            <w:r>
              <w:rPr>
                <w:rFonts w:hint="eastAsia" w:ascii="仿宋" w:hAnsi="仿宋" w:eastAsia="仿宋" w:cs="仿宋"/>
                <w:kern w:val="2"/>
                <w:sz w:val="30"/>
                <w:szCs w:val="30"/>
                <w:highlight w:val="none"/>
                <w:lang w:val="en-US" w:eastAsia="zh-CN"/>
              </w:rPr>
              <w:t>酒后参与评标的</w:t>
            </w:r>
          </w:p>
        </w:tc>
        <w:tc>
          <w:tcPr>
            <w:tcW w:w="833" w:type="dxa"/>
            <w:noWrap w:val="0"/>
            <w:vAlign w:val="center"/>
          </w:tcPr>
          <w:p w14:paraId="4EE713A6">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5</w:t>
            </w:r>
          </w:p>
        </w:tc>
        <w:tc>
          <w:tcPr>
            <w:tcW w:w="850" w:type="dxa"/>
            <w:noWrap w:val="0"/>
            <w:vAlign w:val="center"/>
          </w:tcPr>
          <w:p w14:paraId="457D2A4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04BC09F6">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0E4C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blHeader/>
        </w:trPr>
        <w:tc>
          <w:tcPr>
            <w:tcW w:w="549" w:type="dxa"/>
            <w:shd w:val="clear" w:color="auto" w:fill="auto"/>
            <w:noWrap w:val="0"/>
            <w:vAlign w:val="center"/>
          </w:tcPr>
          <w:p w14:paraId="61B22F96">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1</w:t>
            </w:r>
            <w:r>
              <w:rPr>
                <w:rFonts w:hint="eastAsia" w:ascii="仿宋" w:hAnsi="仿宋" w:eastAsia="仿宋" w:cs="仿宋"/>
                <w:bCs/>
                <w:color w:val="000000"/>
                <w:spacing w:val="-6"/>
                <w:kern w:val="0"/>
                <w:sz w:val="30"/>
                <w:szCs w:val="30"/>
                <w:highlight w:val="none"/>
                <w:lang w:val="en-US" w:eastAsia="zh-CN"/>
              </w:rPr>
              <w:t>9</w:t>
            </w:r>
          </w:p>
        </w:tc>
        <w:tc>
          <w:tcPr>
            <w:tcW w:w="5650" w:type="dxa"/>
            <w:noWrap w:val="0"/>
            <w:vAlign w:val="center"/>
          </w:tcPr>
          <w:p w14:paraId="31DAE69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2"/>
                <w:sz w:val="30"/>
                <w:szCs w:val="30"/>
                <w:highlight w:val="none"/>
              </w:rPr>
              <w:t>不熟悉电子化评标操作的</w:t>
            </w:r>
          </w:p>
        </w:tc>
        <w:tc>
          <w:tcPr>
            <w:tcW w:w="833" w:type="dxa"/>
            <w:noWrap w:val="0"/>
            <w:vAlign w:val="center"/>
          </w:tcPr>
          <w:p w14:paraId="25AA376D">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5</w:t>
            </w:r>
          </w:p>
        </w:tc>
        <w:tc>
          <w:tcPr>
            <w:tcW w:w="850" w:type="dxa"/>
            <w:noWrap w:val="0"/>
            <w:vAlign w:val="center"/>
          </w:tcPr>
          <w:p w14:paraId="2989523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31EB270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754F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trPr>
        <w:tc>
          <w:tcPr>
            <w:tcW w:w="549" w:type="dxa"/>
            <w:shd w:val="clear" w:color="auto" w:fill="auto"/>
            <w:noWrap w:val="0"/>
            <w:vAlign w:val="center"/>
          </w:tcPr>
          <w:p w14:paraId="2FC4E2F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lang w:val="en-US" w:eastAsia="zh-CN"/>
              </w:rPr>
              <w:t>20</w:t>
            </w:r>
          </w:p>
        </w:tc>
        <w:tc>
          <w:tcPr>
            <w:tcW w:w="5650" w:type="dxa"/>
            <w:noWrap w:val="0"/>
            <w:vAlign w:val="center"/>
          </w:tcPr>
          <w:p w14:paraId="72DFB1C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2"/>
                <w:sz w:val="30"/>
                <w:szCs w:val="30"/>
                <w:highlight w:val="none"/>
              </w:rPr>
              <w:t>不熟悉招投标法律法规的</w:t>
            </w:r>
          </w:p>
        </w:tc>
        <w:tc>
          <w:tcPr>
            <w:tcW w:w="833" w:type="dxa"/>
            <w:noWrap w:val="0"/>
            <w:vAlign w:val="center"/>
          </w:tcPr>
          <w:p w14:paraId="0AC6B1B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rPr>
              <w:t>5</w:t>
            </w:r>
          </w:p>
        </w:tc>
        <w:tc>
          <w:tcPr>
            <w:tcW w:w="850" w:type="dxa"/>
            <w:noWrap w:val="0"/>
            <w:vAlign w:val="center"/>
          </w:tcPr>
          <w:p w14:paraId="34FDFAD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4D488257">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1FBB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778E320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lang w:val="en-US" w:eastAsia="zh-CN"/>
              </w:rPr>
              <w:t>21</w:t>
            </w:r>
          </w:p>
        </w:tc>
        <w:tc>
          <w:tcPr>
            <w:tcW w:w="5650" w:type="dxa"/>
            <w:noWrap w:val="0"/>
            <w:vAlign w:val="center"/>
          </w:tcPr>
          <w:p w14:paraId="27AFE51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spacing w:val="-6"/>
                <w:kern w:val="2"/>
                <w:sz w:val="30"/>
                <w:szCs w:val="30"/>
                <w:highlight w:val="none"/>
                <w:lang w:val="en-US" w:eastAsia="zh-CN" w:bidi="ar-SA"/>
              </w:rPr>
              <w:t>记录、抄写、夹带与评标相关内容，并私自将评标相关资料带出评标区的</w:t>
            </w:r>
          </w:p>
        </w:tc>
        <w:tc>
          <w:tcPr>
            <w:tcW w:w="833" w:type="dxa"/>
            <w:noWrap w:val="0"/>
            <w:vAlign w:val="center"/>
          </w:tcPr>
          <w:p w14:paraId="386CFDD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10</w:t>
            </w:r>
          </w:p>
        </w:tc>
        <w:tc>
          <w:tcPr>
            <w:tcW w:w="850" w:type="dxa"/>
            <w:noWrap w:val="0"/>
            <w:vAlign w:val="center"/>
          </w:tcPr>
          <w:p w14:paraId="78D9714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AB5745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1299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67BC54F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lang w:val="en-US" w:eastAsia="zh-CN"/>
              </w:rPr>
              <w:t>22</w:t>
            </w:r>
          </w:p>
        </w:tc>
        <w:tc>
          <w:tcPr>
            <w:tcW w:w="5650" w:type="dxa"/>
            <w:noWrap w:val="0"/>
            <w:vAlign w:val="center"/>
          </w:tcPr>
          <w:p w14:paraId="6AEA9B5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发现评标中的错误不予以纠正更改的</w:t>
            </w:r>
          </w:p>
        </w:tc>
        <w:tc>
          <w:tcPr>
            <w:tcW w:w="833" w:type="dxa"/>
            <w:noWrap w:val="0"/>
            <w:vAlign w:val="center"/>
          </w:tcPr>
          <w:p w14:paraId="6886B4D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7C617CF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2068ABB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rPr>
            </w:pPr>
          </w:p>
        </w:tc>
      </w:tr>
      <w:tr w14:paraId="7D79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trPr>
        <w:tc>
          <w:tcPr>
            <w:tcW w:w="549" w:type="dxa"/>
            <w:shd w:val="clear" w:color="auto" w:fill="auto"/>
            <w:noWrap w:val="0"/>
            <w:vAlign w:val="center"/>
          </w:tcPr>
          <w:p w14:paraId="6536393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23</w:t>
            </w:r>
          </w:p>
        </w:tc>
        <w:tc>
          <w:tcPr>
            <w:tcW w:w="5650" w:type="dxa"/>
            <w:noWrap w:val="0"/>
            <w:vAlign w:val="center"/>
          </w:tcPr>
          <w:p w14:paraId="48CCED1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擅自动用评标委员会其他成员评标设备的</w:t>
            </w:r>
          </w:p>
        </w:tc>
        <w:tc>
          <w:tcPr>
            <w:tcW w:w="833" w:type="dxa"/>
            <w:noWrap w:val="0"/>
            <w:vAlign w:val="center"/>
          </w:tcPr>
          <w:p w14:paraId="05FF4B6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10</w:t>
            </w:r>
          </w:p>
        </w:tc>
        <w:tc>
          <w:tcPr>
            <w:tcW w:w="850" w:type="dxa"/>
            <w:noWrap w:val="0"/>
            <w:vAlign w:val="center"/>
          </w:tcPr>
          <w:p w14:paraId="3D0414CD">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9F3E6D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3C68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blHeader/>
        </w:trPr>
        <w:tc>
          <w:tcPr>
            <w:tcW w:w="549" w:type="dxa"/>
            <w:shd w:val="clear" w:color="auto" w:fill="auto"/>
            <w:noWrap w:val="0"/>
            <w:vAlign w:val="center"/>
          </w:tcPr>
          <w:p w14:paraId="2740E95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lang w:val="en-US" w:eastAsia="zh-CN"/>
              </w:rPr>
              <w:t>24</w:t>
            </w:r>
          </w:p>
        </w:tc>
        <w:tc>
          <w:tcPr>
            <w:tcW w:w="5650" w:type="dxa"/>
            <w:noWrap w:val="0"/>
            <w:vAlign w:val="center"/>
          </w:tcPr>
          <w:p w14:paraId="4ACEC44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评标结果</w:t>
            </w:r>
            <w:r>
              <w:rPr>
                <w:rFonts w:hint="eastAsia" w:ascii="仿宋" w:hAnsi="仿宋" w:eastAsia="仿宋" w:cs="仿宋"/>
                <w:kern w:val="0"/>
                <w:sz w:val="30"/>
                <w:szCs w:val="30"/>
                <w:highlight w:val="none"/>
                <w:lang w:val="en-US" w:eastAsia="zh-CN"/>
              </w:rPr>
              <w:t>汇总</w:t>
            </w:r>
            <w:r>
              <w:rPr>
                <w:rFonts w:hint="eastAsia" w:ascii="仿宋" w:hAnsi="仿宋" w:eastAsia="仿宋" w:cs="仿宋"/>
                <w:kern w:val="0"/>
                <w:sz w:val="30"/>
                <w:szCs w:val="30"/>
                <w:highlight w:val="none"/>
              </w:rPr>
              <w:t>后</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对主观分值进行调整改变评标结果的</w:t>
            </w:r>
          </w:p>
        </w:tc>
        <w:tc>
          <w:tcPr>
            <w:tcW w:w="833" w:type="dxa"/>
            <w:noWrap w:val="0"/>
            <w:vAlign w:val="center"/>
          </w:tcPr>
          <w:p w14:paraId="23E4BF1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lang w:val="en-US" w:eastAsia="zh-CN"/>
              </w:rPr>
              <w:t>2</w:t>
            </w:r>
            <w:r>
              <w:rPr>
                <w:rFonts w:hint="eastAsia" w:ascii="仿宋" w:hAnsi="仿宋" w:eastAsia="仿宋" w:cs="仿宋"/>
                <w:bCs/>
                <w:color w:val="000000"/>
                <w:spacing w:val="-6"/>
                <w:kern w:val="0"/>
                <w:sz w:val="30"/>
                <w:szCs w:val="30"/>
                <w:highlight w:val="none"/>
              </w:rPr>
              <w:t>0</w:t>
            </w:r>
          </w:p>
        </w:tc>
        <w:tc>
          <w:tcPr>
            <w:tcW w:w="850" w:type="dxa"/>
            <w:noWrap w:val="0"/>
            <w:vAlign w:val="center"/>
          </w:tcPr>
          <w:p w14:paraId="4926250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155ECFDA">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242C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02CEEEE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bidi="ar-SA"/>
              </w:rPr>
            </w:pPr>
            <w:r>
              <w:rPr>
                <w:rFonts w:hint="eastAsia" w:ascii="仿宋" w:hAnsi="仿宋" w:eastAsia="仿宋" w:cs="仿宋"/>
                <w:bCs/>
                <w:color w:val="000000"/>
                <w:spacing w:val="-6"/>
                <w:kern w:val="0"/>
                <w:sz w:val="30"/>
                <w:szCs w:val="30"/>
                <w:highlight w:val="none"/>
              </w:rPr>
              <w:t>2</w:t>
            </w:r>
            <w:r>
              <w:rPr>
                <w:rFonts w:hint="eastAsia" w:ascii="仿宋" w:hAnsi="仿宋" w:eastAsia="仿宋" w:cs="仿宋"/>
                <w:bCs/>
                <w:color w:val="000000"/>
                <w:spacing w:val="-6"/>
                <w:kern w:val="0"/>
                <w:sz w:val="30"/>
                <w:szCs w:val="30"/>
                <w:highlight w:val="none"/>
                <w:lang w:val="en-US" w:eastAsia="zh-CN"/>
              </w:rPr>
              <w:t>5</w:t>
            </w:r>
          </w:p>
        </w:tc>
        <w:tc>
          <w:tcPr>
            <w:tcW w:w="5650" w:type="dxa"/>
            <w:noWrap w:val="0"/>
            <w:vAlign w:val="center"/>
          </w:tcPr>
          <w:p w14:paraId="4628ECF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非法定事由，</w:t>
            </w:r>
            <w:r>
              <w:rPr>
                <w:rFonts w:hint="eastAsia" w:ascii="仿宋" w:hAnsi="仿宋" w:eastAsia="仿宋" w:cs="仿宋"/>
                <w:kern w:val="0"/>
                <w:sz w:val="30"/>
                <w:szCs w:val="30"/>
                <w:highlight w:val="none"/>
              </w:rPr>
              <w:t>暗示或诱导投标人做出澄清、说明</w:t>
            </w:r>
            <w:r>
              <w:rPr>
                <w:rFonts w:hint="eastAsia" w:ascii="仿宋" w:hAnsi="仿宋" w:eastAsia="仿宋" w:cs="仿宋"/>
                <w:kern w:val="0"/>
                <w:sz w:val="30"/>
                <w:szCs w:val="30"/>
                <w:highlight w:val="none"/>
                <w:lang w:eastAsia="zh-CN"/>
              </w:rPr>
              <w:t>的；</w:t>
            </w:r>
            <w:r>
              <w:rPr>
                <w:rFonts w:hint="eastAsia" w:ascii="仿宋" w:hAnsi="仿宋" w:eastAsia="仿宋" w:cs="仿宋"/>
                <w:kern w:val="0"/>
                <w:sz w:val="30"/>
                <w:szCs w:val="30"/>
                <w:highlight w:val="none"/>
                <w:lang w:val="en-US" w:eastAsia="zh-CN"/>
              </w:rPr>
              <w:t>或</w:t>
            </w:r>
            <w:r>
              <w:rPr>
                <w:rFonts w:hint="eastAsia" w:ascii="仿宋" w:hAnsi="仿宋" w:eastAsia="仿宋" w:cs="仿宋"/>
                <w:kern w:val="0"/>
                <w:sz w:val="30"/>
                <w:szCs w:val="30"/>
                <w:highlight w:val="none"/>
              </w:rPr>
              <w:t>接受投标人主动提出的澄清、说明</w:t>
            </w:r>
            <w:r>
              <w:rPr>
                <w:rFonts w:hint="eastAsia" w:ascii="仿宋" w:hAnsi="仿宋" w:eastAsia="仿宋" w:cs="仿宋"/>
                <w:kern w:val="0"/>
                <w:sz w:val="30"/>
                <w:szCs w:val="30"/>
                <w:highlight w:val="none"/>
                <w:lang w:val="en-US" w:eastAsia="zh-CN"/>
              </w:rPr>
              <w:t>的</w:t>
            </w:r>
          </w:p>
        </w:tc>
        <w:tc>
          <w:tcPr>
            <w:tcW w:w="833" w:type="dxa"/>
            <w:noWrap w:val="0"/>
            <w:vAlign w:val="center"/>
          </w:tcPr>
          <w:p w14:paraId="47BFE3D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rPr>
            </w:pPr>
            <w:r>
              <w:rPr>
                <w:rFonts w:hint="eastAsia" w:ascii="仿宋" w:hAnsi="仿宋" w:eastAsia="仿宋" w:cs="仿宋"/>
                <w:bCs/>
                <w:color w:val="000000"/>
                <w:spacing w:val="-6"/>
                <w:kern w:val="0"/>
                <w:sz w:val="30"/>
                <w:szCs w:val="30"/>
                <w:highlight w:val="none"/>
                <w:lang w:val="en-US" w:eastAsia="zh-CN"/>
              </w:rPr>
              <w:t>50</w:t>
            </w:r>
          </w:p>
        </w:tc>
        <w:tc>
          <w:tcPr>
            <w:tcW w:w="850" w:type="dxa"/>
            <w:noWrap w:val="0"/>
            <w:vAlign w:val="center"/>
          </w:tcPr>
          <w:p w14:paraId="1712AED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5440EE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1EEE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3FA32AD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26</w:t>
            </w:r>
          </w:p>
        </w:tc>
        <w:tc>
          <w:tcPr>
            <w:tcW w:w="5650" w:type="dxa"/>
            <w:noWrap w:val="0"/>
            <w:vAlign w:val="center"/>
          </w:tcPr>
          <w:p w14:paraId="048BF4C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委托或者代替他人参与评标的</w:t>
            </w:r>
          </w:p>
        </w:tc>
        <w:tc>
          <w:tcPr>
            <w:tcW w:w="833" w:type="dxa"/>
            <w:noWrap w:val="0"/>
            <w:vAlign w:val="center"/>
          </w:tcPr>
          <w:p w14:paraId="4FD94D2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50</w:t>
            </w:r>
          </w:p>
        </w:tc>
        <w:tc>
          <w:tcPr>
            <w:tcW w:w="850" w:type="dxa"/>
            <w:noWrap w:val="0"/>
            <w:vAlign w:val="center"/>
          </w:tcPr>
          <w:p w14:paraId="12BE3EC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748F3B3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7D96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588C4F7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27</w:t>
            </w:r>
          </w:p>
        </w:tc>
        <w:tc>
          <w:tcPr>
            <w:tcW w:w="5650" w:type="dxa"/>
            <w:noWrap w:val="0"/>
            <w:vAlign w:val="center"/>
          </w:tcPr>
          <w:p w14:paraId="54354A8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eastAsia="zh-CN"/>
              </w:rPr>
              <w:t>不配合或者拒绝参加</w:t>
            </w:r>
            <w:r>
              <w:rPr>
                <w:rFonts w:hint="eastAsia" w:ascii="仿宋" w:hAnsi="仿宋" w:eastAsia="仿宋" w:cs="仿宋"/>
                <w:kern w:val="0"/>
                <w:sz w:val="30"/>
                <w:szCs w:val="30"/>
                <w:highlight w:val="none"/>
                <w:lang w:val="en-US" w:eastAsia="zh-CN"/>
              </w:rPr>
              <w:t>项目发起方</w:t>
            </w:r>
            <w:r>
              <w:rPr>
                <w:rFonts w:hint="eastAsia" w:ascii="仿宋" w:hAnsi="仿宋" w:eastAsia="仿宋" w:cs="仿宋"/>
                <w:kern w:val="0"/>
                <w:sz w:val="30"/>
                <w:szCs w:val="30"/>
                <w:highlight w:val="none"/>
                <w:lang w:eastAsia="zh-CN"/>
              </w:rPr>
              <w:t>（代理机构）或监管部门依法组织的质疑（异议）或投诉事项处理的</w:t>
            </w:r>
          </w:p>
        </w:tc>
        <w:tc>
          <w:tcPr>
            <w:tcW w:w="833" w:type="dxa"/>
            <w:noWrap w:val="0"/>
            <w:vAlign w:val="center"/>
          </w:tcPr>
          <w:p w14:paraId="09E34B9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7B25A13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11FC059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4046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3177810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28</w:t>
            </w:r>
          </w:p>
        </w:tc>
        <w:tc>
          <w:tcPr>
            <w:tcW w:w="5650" w:type="dxa"/>
            <w:noWrap w:val="0"/>
            <w:vAlign w:val="center"/>
          </w:tcPr>
          <w:p w14:paraId="660FE7F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存在接到评标通知后，以明示或暗示等方式主动散播或者通过中间人散播信息寻求被围猎的</w:t>
            </w:r>
          </w:p>
        </w:tc>
        <w:tc>
          <w:tcPr>
            <w:tcW w:w="833" w:type="dxa"/>
            <w:noWrap w:val="0"/>
            <w:vAlign w:val="center"/>
          </w:tcPr>
          <w:p w14:paraId="71B1EA6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50</w:t>
            </w:r>
          </w:p>
        </w:tc>
        <w:tc>
          <w:tcPr>
            <w:tcW w:w="850" w:type="dxa"/>
            <w:noWrap w:val="0"/>
            <w:vAlign w:val="center"/>
          </w:tcPr>
          <w:p w14:paraId="67A2250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31114DF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5493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3649FB2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29</w:t>
            </w:r>
          </w:p>
        </w:tc>
        <w:tc>
          <w:tcPr>
            <w:tcW w:w="5650" w:type="dxa"/>
            <w:noWrap w:val="0"/>
            <w:vAlign w:val="center"/>
          </w:tcPr>
          <w:p w14:paraId="4A28D66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不按照招标文件规定的评标程序、评标标准和评标方法评标的</w:t>
            </w:r>
          </w:p>
        </w:tc>
        <w:tc>
          <w:tcPr>
            <w:tcW w:w="833" w:type="dxa"/>
            <w:noWrap w:val="0"/>
            <w:vAlign w:val="center"/>
          </w:tcPr>
          <w:p w14:paraId="66C4B2F7">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37FC315D">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1E34FEA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68E6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630E25AA">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5650" w:type="dxa"/>
            <w:noWrap w:val="0"/>
            <w:vAlign w:val="center"/>
          </w:tcPr>
          <w:p w14:paraId="4848E6C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向招标人征询确定中标人的意向，或者接受任何单位、个人提出的倾向、排斥特定投标人要求的</w:t>
            </w:r>
          </w:p>
        </w:tc>
        <w:tc>
          <w:tcPr>
            <w:tcW w:w="833" w:type="dxa"/>
            <w:noWrap w:val="0"/>
            <w:vAlign w:val="center"/>
          </w:tcPr>
          <w:p w14:paraId="087EB6E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1078563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1D04001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050F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3FDF509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31</w:t>
            </w:r>
          </w:p>
        </w:tc>
        <w:tc>
          <w:tcPr>
            <w:tcW w:w="5650" w:type="dxa"/>
            <w:noWrap w:val="0"/>
            <w:vAlign w:val="center"/>
          </w:tcPr>
          <w:p w14:paraId="2758BDE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color w:val="auto"/>
                <w:sz w:val="30"/>
                <w:szCs w:val="30"/>
                <w:highlight w:val="none"/>
                <w:lang w:val="en-US" w:eastAsia="zh-CN"/>
              </w:rPr>
              <w:t>以评标委员会成员身份</w:t>
            </w:r>
            <w:r>
              <w:rPr>
                <w:rFonts w:hint="eastAsia" w:ascii="仿宋" w:hAnsi="仿宋" w:eastAsia="仿宋" w:cs="仿宋"/>
                <w:color w:val="auto"/>
                <w:sz w:val="30"/>
                <w:szCs w:val="30"/>
                <w:highlight w:val="none"/>
                <w:lang w:eastAsia="zh-CN"/>
              </w:rPr>
              <w:t>对其他评标委员会成员的独立评标施加不当影响的</w:t>
            </w:r>
          </w:p>
        </w:tc>
        <w:tc>
          <w:tcPr>
            <w:tcW w:w="833" w:type="dxa"/>
            <w:noWrap w:val="0"/>
            <w:vAlign w:val="center"/>
          </w:tcPr>
          <w:p w14:paraId="7191A2BE">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20</w:t>
            </w:r>
          </w:p>
        </w:tc>
        <w:tc>
          <w:tcPr>
            <w:tcW w:w="850" w:type="dxa"/>
            <w:noWrap w:val="0"/>
            <w:vAlign w:val="center"/>
          </w:tcPr>
          <w:p w14:paraId="423BE4B6">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7F7E8156">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677E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75F649D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32</w:t>
            </w:r>
          </w:p>
        </w:tc>
        <w:tc>
          <w:tcPr>
            <w:tcW w:w="5650" w:type="dxa"/>
            <w:noWrap w:val="0"/>
            <w:vAlign w:val="center"/>
          </w:tcPr>
          <w:p w14:paraId="381D54A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rPr>
            </w:pPr>
            <w:r>
              <w:rPr>
                <w:rFonts w:hint="eastAsia" w:ascii="仿宋" w:hAnsi="仿宋" w:eastAsia="仿宋" w:cs="仿宋"/>
                <w:color w:val="auto"/>
                <w:sz w:val="30"/>
                <w:szCs w:val="30"/>
                <w:highlight w:val="none"/>
                <w:lang w:val="en-US" w:eastAsia="zh-CN"/>
              </w:rPr>
              <w:t>以评标委员会负责人身份</w:t>
            </w:r>
            <w:r>
              <w:rPr>
                <w:rFonts w:hint="eastAsia" w:ascii="仿宋" w:hAnsi="仿宋" w:eastAsia="仿宋" w:cs="仿宋"/>
                <w:color w:val="auto"/>
                <w:sz w:val="30"/>
                <w:szCs w:val="30"/>
                <w:highlight w:val="none"/>
                <w:lang w:eastAsia="zh-CN"/>
              </w:rPr>
              <w:t>对其他评标委员会成员的独立评标施加不当影响的</w:t>
            </w:r>
          </w:p>
        </w:tc>
        <w:tc>
          <w:tcPr>
            <w:tcW w:w="833" w:type="dxa"/>
            <w:noWrap w:val="0"/>
            <w:vAlign w:val="center"/>
          </w:tcPr>
          <w:p w14:paraId="14AB6A1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31E6F4E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1B090D2D">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01ED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140AB25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33</w:t>
            </w:r>
          </w:p>
        </w:tc>
        <w:tc>
          <w:tcPr>
            <w:tcW w:w="5650" w:type="dxa"/>
            <w:noWrap w:val="0"/>
            <w:vAlign w:val="center"/>
          </w:tcPr>
          <w:p w14:paraId="779198A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客观分评审错误的</w:t>
            </w:r>
          </w:p>
        </w:tc>
        <w:tc>
          <w:tcPr>
            <w:tcW w:w="833" w:type="dxa"/>
            <w:noWrap w:val="0"/>
            <w:vAlign w:val="center"/>
          </w:tcPr>
          <w:p w14:paraId="7D1958B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528AE6A7">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C1489A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1EC9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283801DC">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34</w:t>
            </w:r>
          </w:p>
        </w:tc>
        <w:tc>
          <w:tcPr>
            <w:tcW w:w="5650" w:type="dxa"/>
            <w:noWrap w:val="0"/>
            <w:vAlign w:val="center"/>
          </w:tcPr>
          <w:p w14:paraId="0EE0A07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评分存在畸高、畸低的</w:t>
            </w:r>
          </w:p>
        </w:tc>
        <w:tc>
          <w:tcPr>
            <w:tcW w:w="833" w:type="dxa"/>
            <w:noWrap w:val="0"/>
            <w:vAlign w:val="center"/>
          </w:tcPr>
          <w:p w14:paraId="1EAE390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43AC97A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542825D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4F4E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2BF3FC2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35</w:t>
            </w:r>
          </w:p>
        </w:tc>
        <w:tc>
          <w:tcPr>
            <w:tcW w:w="5650" w:type="dxa"/>
            <w:noWrap w:val="0"/>
            <w:vAlign w:val="center"/>
          </w:tcPr>
          <w:p w14:paraId="095BD012">
            <w:pPr>
              <w:keepNext w:val="0"/>
              <w:keepLines w:val="0"/>
              <w:pageBreakBefore w:val="0"/>
              <w:widowControl w:val="0"/>
              <w:tabs>
                <w:tab w:val="left" w:pos="872"/>
              </w:tabs>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因个人原因导致评标出错，必须进行系统回退进行纠错的</w:t>
            </w:r>
          </w:p>
        </w:tc>
        <w:tc>
          <w:tcPr>
            <w:tcW w:w="833" w:type="dxa"/>
            <w:noWrap w:val="0"/>
            <w:vAlign w:val="center"/>
          </w:tcPr>
          <w:p w14:paraId="2D426D04">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3CA7C3F9">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1445669F">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2895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17AAEF0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36</w:t>
            </w:r>
          </w:p>
        </w:tc>
        <w:tc>
          <w:tcPr>
            <w:tcW w:w="5650" w:type="dxa"/>
            <w:noWrap w:val="0"/>
            <w:vAlign w:val="center"/>
          </w:tcPr>
          <w:p w14:paraId="34C147F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依法应当提出否决意见但未提出的</w:t>
            </w:r>
          </w:p>
        </w:tc>
        <w:tc>
          <w:tcPr>
            <w:tcW w:w="833" w:type="dxa"/>
            <w:noWrap w:val="0"/>
            <w:vAlign w:val="center"/>
          </w:tcPr>
          <w:p w14:paraId="1D90D3B8">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66E09F85">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29907752">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r w14:paraId="2A9B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549" w:type="dxa"/>
            <w:shd w:val="clear" w:color="auto" w:fill="auto"/>
            <w:noWrap w:val="0"/>
            <w:vAlign w:val="center"/>
          </w:tcPr>
          <w:p w14:paraId="4427F033">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default"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37</w:t>
            </w:r>
          </w:p>
        </w:tc>
        <w:tc>
          <w:tcPr>
            <w:tcW w:w="5650" w:type="dxa"/>
            <w:noWrap w:val="0"/>
            <w:vAlign w:val="center"/>
          </w:tcPr>
          <w:p w14:paraId="642EFF8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抄袭评标委员会其他成员打分结果的</w:t>
            </w:r>
          </w:p>
        </w:tc>
        <w:tc>
          <w:tcPr>
            <w:tcW w:w="833" w:type="dxa"/>
            <w:noWrap w:val="0"/>
            <w:vAlign w:val="center"/>
          </w:tcPr>
          <w:p w14:paraId="5FA97470">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center"/>
              <w:textAlignment w:val="auto"/>
              <w:rPr>
                <w:rFonts w:hint="eastAsia" w:ascii="仿宋" w:hAnsi="仿宋" w:eastAsia="仿宋" w:cs="仿宋"/>
                <w:bCs/>
                <w:color w:val="000000"/>
                <w:spacing w:val="-6"/>
                <w:kern w:val="0"/>
                <w:sz w:val="30"/>
                <w:szCs w:val="30"/>
                <w:highlight w:val="none"/>
                <w:lang w:val="en-US" w:eastAsia="zh-CN"/>
              </w:rPr>
            </w:pPr>
            <w:r>
              <w:rPr>
                <w:rFonts w:hint="eastAsia" w:ascii="仿宋" w:hAnsi="仿宋" w:eastAsia="仿宋" w:cs="仿宋"/>
                <w:bCs/>
                <w:color w:val="000000"/>
                <w:spacing w:val="-6"/>
                <w:kern w:val="0"/>
                <w:sz w:val="30"/>
                <w:szCs w:val="30"/>
                <w:highlight w:val="none"/>
                <w:lang w:val="en-US" w:eastAsia="zh-CN"/>
              </w:rPr>
              <w:t>30</w:t>
            </w:r>
          </w:p>
        </w:tc>
        <w:tc>
          <w:tcPr>
            <w:tcW w:w="850" w:type="dxa"/>
            <w:noWrap w:val="0"/>
            <w:vAlign w:val="center"/>
          </w:tcPr>
          <w:p w14:paraId="1242DD21">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c>
          <w:tcPr>
            <w:tcW w:w="595" w:type="dxa"/>
            <w:noWrap w:val="0"/>
            <w:vAlign w:val="center"/>
          </w:tcPr>
          <w:p w14:paraId="7F30217B">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jc w:val="both"/>
              <w:textAlignment w:val="auto"/>
              <w:rPr>
                <w:rFonts w:hint="eastAsia" w:ascii="仿宋" w:hAnsi="仿宋" w:eastAsia="仿宋" w:cs="仿宋"/>
                <w:bCs/>
                <w:color w:val="000000"/>
                <w:spacing w:val="-6"/>
                <w:kern w:val="0"/>
                <w:sz w:val="30"/>
                <w:szCs w:val="30"/>
                <w:highlight w:val="none"/>
                <w:u w:val="single"/>
              </w:rPr>
            </w:pPr>
          </w:p>
        </w:tc>
      </w:tr>
    </w:tbl>
    <w:p w14:paraId="2E934B21">
      <w:pPr>
        <w:pStyle w:val="15"/>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default" w:ascii="仿宋_GB2312" w:hAnsi="仿宋_GB2312" w:eastAsia="仿宋_GB2312" w:cs="仿宋_GB2312"/>
          <w:bCs/>
          <w:color w:val="000000"/>
          <w:spacing w:val="-6"/>
          <w:kern w:val="0"/>
          <w:sz w:val="32"/>
          <w:szCs w:val="32"/>
          <w:lang w:val="en-US" w:eastAsia="zh-CN" w:bidi="ar"/>
        </w:rPr>
      </w:pPr>
    </w:p>
    <w:p w14:paraId="14F2EB17">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default" w:ascii="Times New Roman" w:hAnsi="Times New Roman" w:eastAsia="方正小标宋简体" w:cs="Times New Roman"/>
          <w:bCs/>
          <w:color w:val="auto"/>
          <w:spacing w:val="0"/>
          <w:sz w:val="44"/>
          <w:szCs w:val="44"/>
          <w:highlight w:val="none"/>
        </w:rPr>
      </w:pPr>
      <w:r>
        <w:rPr>
          <w:rFonts w:hint="eastAsia" w:ascii="Times New Roman" w:hAnsi="Times New Roman" w:eastAsia="方正小标宋简体" w:cs="Times New Roman"/>
          <w:bCs/>
          <w:color w:val="auto"/>
          <w:spacing w:val="0"/>
          <w:sz w:val="44"/>
          <w:szCs w:val="44"/>
          <w:highlight w:val="none"/>
          <w:lang w:val="en-US" w:eastAsia="zh-CN"/>
        </w:rPr>
        <w:t>新疆维吾尔</w:t>
      </w:r>
      <w:r>
        <w:rPr>
          <w:rFonts w:hint="default" w:ascii="Times New Roman" w:hAnsi="Times New Roman" w:eastAsia="方正小标宋简体" w:cs="Times New Roman"/>
          <w:bCs/>
          <w:color w:val="auto"/>
          <w:spacing w:val="0"/>
          <w:sz w:val="44"/>
          <w:szCs w:val="44"/>
          <w:highlight w:val="none"/>
        </w:rPr>
        <w:t>自治区公共资源交易代理机构</w:t>
      </w:r>
    </w:p>
    <w:p w14:paraId="301F216E">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default" w:ascii="Times New Roman" w:hAnsi="Times New Roman" w:eastAsia="方正小标宋简体" w:cs="Times New Roman"/>
          <w:bCs/>
          <w:color w:val="auto"/>
          <w:spacing w:val="0"/>
          <w:sz w:val="44"/>
          <w:szCs w:val="44"/>
          <w:highlight w:val="none"/>
        </w:rPr>
      </w:pPr>
      <w:r>
        <w:rPr>
          <w:rFonts w:hint="default" w:ascii="Times New Roman" w:hAnsi="Times New Roman" w:eastAsia="方正小标宋简体" w:cs="Times New Roman"/>
          <w:bCs/>
          <w:color w:val="auto"/>
          <w:spacing w:val="0"/>
          <w:sz w:val="44"/>
          <w:szCs w:val="44"/>
          <w:highlight w:val="none"/>
        </w:rPr>
        <w:t>及从业人员</w:t>
      </w:r>
      <w:r>
        <w:rPr>
          <w:rFonts w:hint="eastAsia" w:ascii="Times New Roman" w:hAnsi="Times New Roman" w:eastAsia="方正小标宋简体" w:cs="Times New Roman"/>
          <w:bCs/>
          <w:color w:val="auto"/>
          <w:spacing w:val="0"/>
          <w:sz w:val="44"/>
          <w:szCs w:val="44"/>
          <w:highlight w:val="none"/>
          <w:lang w:val="en-US" w:eastAsia="zh-CN"/>
        </w:rPr>
        <w:t>现场履职情况评价</w:t>
      </w:r>
      <w:r>
        <w:rPr>
          <w:rFonts w:hint="default" w:ascii="Times New Roman" w:hAnsi="Times New Roman" w:eastAsia="方正小标宋简体" w:cs="Times New Roman"/>
          <w:bCs/>
          <w:color w:val="auto"/>
          <w:spacing w:val="0"/>
          <w:sz w:val="44"/>
          <w:szCs w:val="44"/>
          <w:highlight w:val="none"/>
        </w:rPr>
        <w:t>管理办法</w:t>
      </w:r>
    </w:p>
    <w:p w14:paraId="198D1A76">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楷体" w:hAnsi="楷体" w:eastAsia="楷体" w:cs="楷体"/>
          <w:bCs/>
          <w:color w:val="auto"/>
          <w:spacing w:val="0"/>
          <w:sz w:val="32"/>
          <w:szCs w:val="32"/>
          <w:highlight w:val="none"/>
          <w:lang w:eastAsia="zh-CN"/>
        </w:rPr>
      </w:pPr>
      <w:r>
        <w:rPr>
          <w:rFonts w:hint="eastAsia" w:ascii="楷体" w:hAnsi="楷体" w:eastAsia="楷体" w:cs="楷体"/>
          <w:bCs/>
          <w:color w:val="auto"/>
          <w:spacing w:val="0"/>
          <w:sz w:val="32"/>
          <w:szCs w:val="32"/>
          <w:highlight w:val="none"/>
          <w:lang w:eastAsia="zh-CN"/>
        </w:rPr>
        <w:t>（</w:t>
      </w:r>
      <w:r>
        <w:rPr>
          <w:rFonts w:hint="eastAsia" w:ascii="楷体" w:hAnsi="楷体" w:eastAsia="楷体" w:cs="楷体"/>
          <w:bCs/>
          <w:color w:val="auto"/>
          <w:spacing w:val="0"/>
          <w:sz w:val="32"/>
          <w:szCs w:val="32"/>
          <w:highlight w:val="none"/>
          <w:lang w:val="en-US" w:eastAsia="zh-CN"/>
        </w:rPr>
        <w:t>征求意见稿</w:t>
      </w:r>
      <w:r>
        <w:rPr>
          <w:rFonts w:hint="eastAsia" w:ascii="楷体" w:hAnsi="楷体" w:eastAsia="楷体" w:cs="楷体"/>
          <w:bCs/>
          <w:color w:val="auto"/>
          <w:spacing w:val="0"/>
          <w:sz w:val="32"/>
          <w:szCs w:val="32"/>
          <w:highlight w:val="none"/>
          <w:lang w:eastAsia="zh-CN"/>
        </w:rPr>
        <w:t>）</w:t>
      </w:r>
    </w:p>
    <w:p w14:paraId="6B8CD36C">
      <w:pPr>
        <w:pStyle w:val="15"/>
        <w:keepNext w:val="0"/>
        <w:keepLines w:val="0"/>
        <w:pageBreakBefore w:val="0"/>
        <w:widowControl w:val="0"/>
        <w:kinsoku/>
        <w:wordWrap/>
        <w:overflowPunct/>
        <w:topLinePunct w:val="0"/>
        <w:autoSpaceDE/>
        <w:autoSpaceDN/>
        <w:bidi w:val="0"/>
        <w:spacing w:after="0" w:line="560" w:lineRule="exact"/>
        <w:ind w:left="0" w:leftChars="0"/>
        <w:textAlignment w:val="auto"/>
        <w:rPr>
          <w:rFonts w:hint="eastAsia"/>
          <w:color w:val="auto"/>
          <w:spacing w:val="0"/>
          <w:highlight w:val="none"/>
          <w:lang w:eastAsia="zh-CN"/>
        </w:rPr>
      </w:pPr>
    </w:p>
    <w:p w14:paraId="7C11E4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Cs/>
          <w:color w:val="auto"/>
          <w:spacing w:val="0"/>
          <w:kern w:val="0"/>
          <w:sz w:val="32"/>
          <w:szCs w:val="32"/>
          <w:highlight w:val="none"/>
          <w:lang w:bidi="ar"/>
        </w:rPr>
      </w:pPr>
      <w:r>
        <w:rPr>
          <w:rFonts w:hint="eastAsia" w:ascii="仿宋" w:hAnsi="仿宋" w:eastAsia="仿宋" w:cs="仿宋"/>
          <w:b/>
          <w:bCs w:val="0"/>
          <w:color w:val="auto"/>
          <w:spacing w:val="0"/>
          <w:kern w:val="0"/>
          <w:sz w:val="32"/>
          <w:szCs w:val="32"/>
          <w:highlight w:val="none"/>
          <w:lang w:bidi="ar"/>
        </w:rPr>
        <w:t>第一条</w:t>
      </w:r>
      <w:r>
        <w:rPr>
          <w:rFonts w:hint="eastAsia" w:ascii="Times New Roman" w:hAnsi="Times New Roman" w:eastAsia="黑体" w:cs="Times New Roman"/>
          <w:bCs/>
          <w:color w:val="auto"/>
          <w:spacing w:val="0"/>
          <w:kern w:val="0"/>
          <w:sz w:val="32"/>
          <w:szCs w:val="32"/>
          <w:highlight w:val="none"/>
          <w:lang w:val="en-US" w:eastAsia="zh-CN" w:bidi="ar"/>
        </w:rPr>
        <w:t xml:space="preserve"> </w:t>
      </w:r>
      <w:r>
        <w:rPr>
          <w:rFonts w:hint="eastAsia" w:ascii="Times New Roman" w:hAnsi="Times New Roman" w:eastAsia="仿宋" w:cs="Times New Roman"/>
          <w:bCs/>
          <w:color w:val="auto"/>
          <w:spacing w:val="0"/>
          <w:kern w:val="0"/>
          <w:sz w:val="32"/>
          <w:szCs w:val="32"/>
          <w:highlight w:val="none"/>
          <w:lang w:val="en-US" w:eastAsia="zh-CN" w:bidi="ar"/>
        </w:rPr>
        <w:t>为规范进入自治区各级公共资源交易中心（以下统称交易中心）开展业务的代理机构</w:t>
      </w:r>
      <w:bookmarkStart w:id="0" w:name="_GoBack"/>
      <w:bookmarkEnd w:id="0"/>
      <w:r>
        <w:rPr>
          <w:rFonts w:hint="eastAsia" w:ascii="Times New Roman" w:hAnsi="Times New Roman" w:eastAsia="仿宋" w:cs="Times New Roman"/>
          <w:bCs/>
          <w:color w:val="auto"/>
          <w:spacing w:val="0"/>
          <w:kern w:val="0"/>
          <w:sz w:val="32"/>
          <w:szCs w:val="32"/>
          <w:highlight w:val="none"/>
          <w:lang w:val="en-US" w:eastAsia="zh-CN" w:bidi="ar"/>
        </w:rPr>
        <w:t>现场履职行为，提高代理工作 水平，维护交易当事人合法权益和正常的交易秩序，营造公平、公正、公开和诚实守信的交易环境，</w:t>
      </w:r>
      <w:r>
        <w:rPr>
          <w:rFonts w:hint="default" w:ascii="Times New Roman" w:hAnsi="Times New Roman" w:eastAsia="仿宋" w:cs="Times New Roman"/>
          <w:bCs/>
          <w:color w:val="auto"/>
          <w:spacing w:val="0"/>
          <w:kern w:val="0"/>
          <w:sz w:val="32"/>
          <w:szCs w:val="32"/>
          <w:highlight w:val="none"/>
          <w:lang w:bidi="ar"/>
        </w:rPr>
        <w:t>根据</w:t>
      </w:r>
      <w:r>
        <w:rPr>
          <w:rFonts w:hint="eastAsia" w:ascii="Times New Roman" w:hAnsi="Times New Roman" w:eastAsia="仿宋" w:cs="Times New Roman"/>
          <w:bCs/>
          <w:color w:val="auto"/>
          <w:spacing w:val="0"/>
          <w:kern w:val="0"/>
          <w:sz w:val="32"/>
          <w:szCs w:val="32"/>
          <w:highlight w:val="none"/>
          <w:lang w:eastAsia="zh-CN" w:bidi="ar"/>
        </w:rPr>
        <w:t>《</w:t>
      </w:r>
      <w:r>
        <w:rPr>
          <w:rFonts w:hint="eastAsia" w:ascii="Times New Roman" w:hAnsi="Times New Roman" w:eastAsia="仿宋" w:cs="Times New Roman"/>
          <w:color w:val="auto"/>
          <w:sz w:val="32"/>
          <w:szCs w:val="32"/>
          <w:highlight w:val="none"/>
          <w:lang w:val="en-US" w:eastAsia="zh-CN"/>
        </w:rPr>
        <w:t>招标投标法》及其实施条例、《政府采购法》及其实施条例、《工程建设项目招标代理机构管理暂行办法》（国家六部委2025年34号令）、《政府采购代理机构管理暂行办法》（财库〔2018〕2号）、《自治区公共资源交易管理办法》（新政办发〔2025〕49号）</w:t>
      </w:r>
      <w:r>
        <w:rPr>
          <w:rFonts w:hint="default" w:ascii="Times New Roman" w:hAnsi="Times New Roman" w:eastAsia="仿宋" w:cs="Times New Roman"/>
          <w:bCs/>
          <w:color w:val="auto"/>
          <w:spacing w:val="0"/>
          <w:kern w:val="0"/>
          <w:sz w:val="32"/>
          <w:szCs w:val="32"/>
          <w:highlight w:val="none"/>
          <w:lang w:bidi="ar"/>
        </w:rPr>
        <w:t>等有关法律法规</w:t>
      </w:r>
      <w:r>
        <w:rPr>
          <w:rFonts w:hint="eastAsia" w:ascii="Times New Roman" w:hAnsi="Times New Roman" w:eastAsia="仿宋" w:cs="Times New Roman"/>
          <w:bCs/>
          <w:color w:val="auto"/>
          <w:spacing w:val="0"/>
          <w:kern w:val="0"/>
          <w:sz w:val="32"/>
          <w:szCs w:val="32"/>
          <w:highlight w:val="none"/>
          <w:lang w:val="en-US" w:eastAsia="zh-CN" w:bidi="ar"/>
        </w:rPr>
        <w:t>和规范性文件</w:t>
      </w:r>
      <w:r>
        <w:rPr>
          <w:rFonts w:hint="default" w:ascii="Times New Roman" w:hAnsi="Times New Roman" w:eastAsia="仿宋" w:cs="Times New Roman"/>
          <w:bCs/>
          <w:color w:val="auto"/>
          <w:spacing w:val="0"/>
          <w:kern w:val="0"/>
          <w:sz w:val="32"/>
          <w:szCs w:val="32"/>
          <w:highlight w:val="none"/>
          <w:lang w:bidi="ar"/>
        </w:rPr>
        <w:t>，结合我区实际，制定本办法。</w:t>
      </w:r>
    </w:p>
    <w:p w14:paraId="2ED411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5"/>
        <w:textAlignment w:val="auto"/>
        <w:rPr>
          <w:rFonts w:hint="eastAsia" w:ascii="Times New Roman" w:hAnsi="Times New Roman" w:eastAsia="仿宋" w:cs="Times New Roman"/>
          <w:color w:val="auto"/>
          <w:spacing w:val="0"/>
          <w:sz w:val="32"/>
          <w:szCs w:val="32"/>
          <w:highlight w:val="none"/>
          <w:shd w:val="clear" w:color="auto" w:fill="FFFFFF"/>
          <w:lang w:val="en-US" w:eastAsia="zh-CN"/>
        </w:rPr>
      </w:pPr>
      <w:r>
        <w:rPr>
          <w:rFonts w:hint="default" w:ascii="仿宋" w:hAnsi="仿宋" w:eastAsia="仿宋" w:cs="仿宋"/>
          <w:b/>
          <w:bCs w:val="0"/>
          <w:color w:val="auto"/>
          <w:spacing w:val="0"/>
          <w:kern w:val="0"/>
          <w:sz w:val="32"/>
          <w:szCs w:val="32"/>
          <w:highlight w:val="none"/>
          <w:lang w:bidi="ar"/>
        </w:rPr>
        <w:t>第二条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eastAsia" w:ascii="Times New Roman" w:hAnsi="Times New Roman" w:eastAsia="仿宋" w:cs="Times New Roman"/>
          <w:color w:val="auto"/>
          <w:spacing w:val="0"/>
          <w:sz w:val="32"/>
          <w:szCs w:val="32"/>
          <w:highlight w:val="none"/>
          <w:shd w:val="clear" w:color="auto" w:fill="FFFFFF"/>
          <w:lang w:val="en-US" w:eastAsia="zh-CN"/>
        </w:rPr>
        <w:t>本办法适用于进入交易中心的代理机构及其从业人员现场履职情况的评价管理。</w:t>
      </w:r>
    </w:p>
    <w:p w14:paraId="5000B5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default" w:ascii="仿宋" w:hAnsi="仿宋" w:eastAsia="仿宋" w:cs="仿宋"/>
          <w:b/>
          <w:bCs w:val="0"/>
          <w:color w:val="auto"/>
          <w:spacing w:val="0"/>
          <w:kern w:val="0"/>
          <w:sz w:val="32"/>
          <w:szCs w:val="32"/>
          <w:highlight w:val="none"/>
          <w:lang w:val="en-US" w:eastAsia="zh-CN" w:bidi="ar"/>
        </w:rPr>
        <w:t>第三条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eastAsia" w:ascii="Times New Roman" w:hAnsi="Times New Roman" w:eastAsia="仿宋" w:cs="Times New Roman"/>
          <w:bCs/>
          <w:color w:val="auto"/>
          <w:spacing w:val="0"/>
          <w:kern w:val="0"/>
          <w:sz w:val="32"/>
          <w:szCs w:val="32"/>
          <w:highlight w:val="none"/>
          <w:lang w:val="en-US" w:eastAsia="zh-CN" w:bidi="ar"/>
        </w:rPr>
        <w:t>本办法所称代理机构是指依法依规进入交易中心 从事交易服务的社会招标代理机构、采购代理机构、拍卖机构以及受项目发起方委托从事项目交易代理服务的其他社会中介组织；</w:t>
      </w:r>
    </w:p>
    <w:p w14:paraId="18DAE7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所称从业人员，是指代理机构中专职从事代理业务的人员，包括项目负责人和其他专职从业人员</w:t>
      </w:r>
      <w:r>
        <w:rPr>
          <w:rFonts w:hint="eastAsia" w:ascii="Times New Roman" w:hAnsi="Times New Roman" w:eastAsia="仿宋" w:cs="Times New Roman"/>
          <w:bCs/>
          <w:color w:val="auto"/>
          <w:spacing w:val="0"/>
          <w:kern w:val="0"/>
          <w:sz w:val="32"/>
          <w:szCs w:val="32"/>
          <w:highlight w:val="none"/>
          <w:lang w:val="en-US" w:eastAsia="zh-CN" w:bidi="ar"/>
        </w:rPr>
        <w:t>；</w:t>
      </w:r>
    </w:p>
    <w:p w14:paraId="62FACB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所称项目发起方，包括招标人、采购人、拍卖人、挂牌人、出让转让方等；</w:t>
      </w:r>
    </w:p>
    <w:p w14:paraId="0457CF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所称项目响应方，包括投标人、供应商、意向受让方、竞买人等；</w:t>
      </w:r>
    </w:p>
    <w:p w14:paraId="76E605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所称交易文件，包括招标文件、采购文件、竞价文件、谈判文件、询价通知书和单一来源协商文件等。</w:t>
      </w:r>
    </w:p>
    <w:p w14:paraId="566EFD45">
      <w:pPr>
        <w:keepNext w:val="0"/>
        <w:keepLines w:val="0"/>
        <w:pageBreakBefore w:val="0"/>
        <w:widowControl w:val="0"/>
        <w:kinsoku/>
        <w:wordWrap/>
        <w:overflowPunct/>
        <w:topLinePunct w:val="0"/>
        <w:autoSpaceDE/>
        <w:autoSpaceDN/>
        <w:bidi w:val="0"/>
        <w:spacing w:line="560" w:lineRule="exact"/>
        <w:ind w:firstLine="634"/>
        <w:textAlignment w:val="auto"/>
        <w:rPr>
          <w:rFonts w:ascii="仿宋" w:hAnsi="仿宋" w:eastAsia="仿宋" w:cs="仿宋"/>
          <w:sz w:val="32"/>
          <w:szCs w:val="32"/>
        </w:rPr>
      </w:pPr>
      <w:r>
        <w:rPr>
          <w:rFonts w:hint="default" w:ascii="仿宋" w:hAnsi="仿宋" w:eastAsia="仿宋" w:cs="仿宋"/>
          <w:b/>
          <w:bCs w:val="0"/>
          <w:color w:val="auto"/>
          <w:spacing w:val="0"/>
          <w:kern w:val="0"/>
          <w:sz w:val="32"/>
          <w:szCs w:val="32"/>
          <w:highlight w:val="none"/>
          <w:lang w:val="en-US" w:eastAsia="zh-CN" w:bidi="ar"/>
        </w:rPr>
        <w:t>第四条</w:t>
      </w:r>
      <w:r>
        <w:rPr>
          <w:rFonts w:hint="eastAsia" w:ascii="黑体" w:hAnsi="黑体" w:eastAsia="黑体" w:cs="黑体"/>
          <w:spacing w:val="12"/>
          <w:sz w:val="32"/>
          <w:szCs w:val="32"/>
          <w:lang w:val="en-US" w:eastAsia="zh-CN"/>
        </w:rPr>
        <w:t xml:space="preserve"> </w:t>
      </w:r>
      <w:r>
        <w:rPr>
          <w:rFonts w:ascii="仿宋" w:hAnsi="仿宋" w:eastAsia="仿宋" w:cs="仿宋"/>
          <w:spacing w:val="12"/>
          <w:sz w:val="32"/>
          <w:szCs w:val="32"/>
        </w:rPr>
        <w:t>本办法所称代理机构交易行为是指代理机构按照有</w:t>
      </w:r>
      <w:r>
        <w:rPr>
          <w:rFonts w:ascii="仿宋" w:hAnsi="仿宋" w:eastAsia="仿宋" w:cs="仿宋"/>
          <w:spacing w:val="2"/>
          <w:sz w:val="32"/>
          <w:szCs w:val="32"/>
        </w:rPr>
        <w:t>关法律法规、公共资源交易代理</w:t>
      </w:r>
      <w:r>
        <w:rPr>
          <w:rFonts w:hint="eastAsia" w:ascii="仿宋" w:hAnsi="仿宋" w:eastAsia="仿宋" w:cs="仿宋"/>
          <w:spacing w:val="2"/>
          <w:sz w:val="32"/>
          <w:szCs w:val="32"/>
          <w:lang w:val="en-US" w:eastAsia="zh-CN"/>
        </w:rPr>
        <w:t>相关</w:t>
      </w:r>
      <w:r>
        <w:rPr>
          <w:rFonts w:ascii="仿宋" w:hAnsi="仿宋" w:eastAsia="仿宋" w:cs="仿宋"/>
          <w:spacing w:val="2"/>
          <w:sz w:val="32"/>
          <w:szCs w:val="32"/>
        </w:rPr>
        <w:t>工作规范，</w:t>
      </w:r>
      <w:r>
        <w:rPr>
          <w:rFonts w:hint="eastAsia" w:ascii="仿宋" w:hAnsi="仿宋" w:eastAsia="仿宋" w:cs="仿宋"/>
          <w:spacing w:val="2"/>
          <w:sz w:val="32"/>
          <w:szCs w:val="32"/>
          <w:lang w:val="en-US" w:eastAsia="zh-CN"/>
        </w:rPr>
        <w:t>进入</w:t>
      </w:r>
      <w:r>
        <w:rPr>
          <w:rFonts w:ascii="仿宋" w:hAnsi="仿宋" w:eastAsia="仿宋" w:cs="仿宋"/>
          <w:spacing w:val="2"/>
          <w:sz w:val="32"/>
          <w:szCs w:val="32"/>
        </w:rPr>
        <w:t>交易中心从事</w:t>
      </w:r>
      <w:r>
        <w:rPr>
          <w:rFonts w:ascii="仿宋" w:hAnsi="仿宋" w:eastAsia="仿宋" w:cs="仿宋"/>
          <w:spacing w:val="7"/>
          <w:sz w:val="32"/>
          <w:szCs w:val="32"/>
        </w:rPr>
        <w:t>代理业务时的活动行为。</w:t>
      </w:r>
    </w:p>
    <w:p w14:paraId="0BF36A41">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 w:hAnsi="仿宋" w:eastAsia="仿宋" w:cs="仿宋"/>
          <w:sz w:val="32"/>
          <w:szCs w:val="32"/>
        </w:rPr>
      </w:pPr>
      <w:r>
        <w:rPr>
          <w:rFonts w:hint="default" w:ascii="仿宋" w:hAnsi="仿宋" w:eastAsia="仿宋" w:cs="仿宋"/>
          <w:b/>
          <w:bCs w:val="0"/>
          <w:color w:val="auto"/>
          <w:spacing w:val="0"/>
          <w:kern w:val="0"/>
          <w:sz w:val="32"/>
          <w:szCs w:val="32"/>
          <w:highlight w:val="none"/>
          <w:lang w:val="en-US" w:eastAsia="zh-CN" w:bidi="ar"/>
        </w:rPr>
        <w:t>第五条</w:t>
      </w:r>
      <w:r>
        <w:rPr>
          <w:rFonts w:hint="eastAsia" w:ascii="黑体" w:hAnsi="黑体" w:eastAsia="黑体" w:cs="黑体"/>
          <w:spacing w:val="12"/>
          <w:sz w:val="32"/>
          <w:szCs w:val="32"/>
          <w:lang w:val="en-US" w:eastAsia="zh-CN"/>
        </w:rPr>
        <w:t xml:space="preserve"> </w:t>
      </w:r>
      <w:r>
        <w:rPr>
          <w:rFonts w:ascii="仿宋" w:hAnsi="仿宋" w:eastAsia="仿宋" w:cs="仿宋"/>
          <w:spacing w:val="12"/>
          <w:sz w:val="32"/>
          <w:szCs w:val="32"/>
        </w:rPr>
        <w:t>凡需要进入交易中心参与各类交易活动的代</w:t>
      </w:r>
      <w:r>
        <w:rPr>
          <w:rFonts w:ascii="仿宋" w:hAnsi="仿宋" w:eastAsia="仿宋" w:cs="仿宋"/>
          <w:spacing w:val="2"/>
          <w:sz w:val="32"/>
          <w:szCs w:val="32"/>
        </w:rPr>
        <w:t>理机构，均须按照</w:t>
      </w:r>
      <w:r>
        <w:rPr>
          <w:rFonts w:hint="eastAsia" w:ascii="仿宋" w:hAnsi="仿宋" w:eastAsia="仿宋" w:cs="仿宋"/>
          <w:spacing w:val="2"/>
          <w:sz w:val="32"/>
          <w:szCs w:val="32"/>
          <w:lang w:val="en-US" w:eastAsia="zh-CN"/>
        </w:rPr>
        <w:t>电子化交易有关要求，</w:t>
      </w:r>
      <w:r>
        <w:rPr>
          <w:rFonts w:ascii="仿宋" w:hAnsi="仿宋" w:eastAsia="仿宋" w:cs="仿宋"/>
          <w:spacing w:val="4"/>
          <w:sz w:val="32"/>
          <w:szCs w:val="32"/>
        </w:rPr>
        <w:t>在</w:t>
      </w:r>
      <w:r>
        <w:rPr>
          <w:rFonts w:hint="eastAsia" w:ascii="仿宋" w:hAnsi="仿宋" w:eastAsia="仿宋" w:cs="仿宋"/>
          <w:spacing w:val="4"/>
          <w:sz w:val="32"/>
          <w:szCs w:val="32"/>
          <w:lang w:val="en-US" w:eastAsia="zh-CN"/>
        </w:rPr>
        <w:t>自治区公共资源交易</w:t>
      </w:r>
      <w:r>
        <w:rPr>
          <w:rFonts w:ascii="仿宋" w:hAnsi="仿宋" w:eastAsia="仿宋" w:cs="仿宋"/>
          <w:spacing w:val="4"/>
          <w:sz w:val="32"/>
          <w:szCs w:val="32"/>
        </w:rPr>
        <w:t>平台</w:t>
      </w:r>
      <w:r>
        <w:rPr>
          <w:rFonts w:hint="eastAsia" w:ascii="仿宋" w:hAnsi="仿宋" w:eastAsia="仿宋" w:cs="仿宋"/>
          <w:spacing w:val="4"/>
          <w:sz w:val="32"/>
          <w:szCs w:val="32"/>
          <w:lang w:val="en-US" w:eastAsia="zh-CN"/>
        </w:rPr>
        <w:t>完成</w:t>
      </w:r>
      <w:r>
        <w:rPr>
          <w:rFonts w:ascii="仿宋" w:hAnsi="仿宋" w:eastAsia="仿宋" w:cs="仿宋"/>
          <w:spacing w:val="4"/>
          <w:sz w:val="32"/>
          <w:szCs w:val="32"/>
        </w:rPr>
        <w:t>公共资源交易主体</w:t>
      </w:r>
      <w:r>
        <w:rPr>
          <w:rFonts w:hint="eastAsia" w:ascii="仿宋" w:hAnsi="仿宋" w:eastAsia="仿宋" w:cs="仿宋"/>
          <w:spacing w:val="4"/>
          <w:sz w:val="32"/>
          <w:szCs w:val="32"/>
          <w:lang w:val="en-US" w:eastAsia="zh-CN"/>
        </w:rPr>
        <w:t>账号</w:t>
      </w:r>
      <w:r>
        <w:rPr>
          <w:rFonts w:ascii="仿宋" w:hAnsi="仿宋" w:eastAsia="仿宋" w:cs="仿宋"/>
          <w:spacing w:val="4"/>
          <w:sz w:val="32"/>
          <w:szCs w:val="32"/>
        </w:rPr>
        <w:t>注册工作。</w:t>
      </w:r>
    </w:p>
    <w:p w14:paraId="5E06D394">
      <w:pPr>
        <w:keepNext w:val="0"/>
        <w:keepLines w:val="0"/>
        <w:pageBreakBefore w:val="0"/>
        <w:widowControl w:val="0"/>
        <w:numPr>
          <w:ilvl w:val="0"/>
          <w:numId w:val="0"/>
        </w:numPr>
        <w:kinsoku/>
        <w:wordWrap/>
        <w:overflowPunct/>
        <w:topLinePunct w:val="0"/>
        <w:autoSpaceDE/>
        <w:autoSpaceDN/>
        <w:bidi w:val="0"/>
        <w:spacing w:line="560" w:lineRule="exact"/>
        <w:ind w:left="0" w:leftChars="0"/>
        <w:jc w:val="both"/>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 </w:t>
      </w:r>
      <w:r>
        <w:rPr>
          <w:rFonts w:hint="default" w:ascii="Times New Roman" w:hAnsi="Times New Roman" w:eastAsia="仿宋_GB2312" w:cs="Times New Roman"/>
          <w:bCs/>
          <w:color w:val="auto"/>
          <w:spacing w:val="0"/>
          <w:kern w:val="0"/>
          <w:sz w:val="32"/>
          <w:szCs w:val="32"/>
          <w:highlight w:val="none"/>
          <w:lang w:val="en-US" w:eastAsia="zh-CN" w:bidi="ar"/>
        </w:rPr>
        <w:t> </w:t>
      </w:r>
      <w:r>
        <w:rPr>
          <w:rFonts w:hint="eastAsia" w:ascii="Times New Roman" w:hAnsi="Times New Roman" w:eastAsia="仿宋_GB2312" w:cs="Times New Roman"/>
          <w:bCs/>
          <w:color w:val="auto"/>
          <w:spacing w:val="0"/>
          <w:kern w:val="0"/>
          <w:sz w:val="32"/>
          <w:szCs w:val="32"/>
          <w:highlight w:val="none"/>
          <w:lang w:val="en-US" w:eastAsia="zh-CN" w:bidi="ar"/>
        </w:rPr>
        <w:t xml:space="preserve">   </w:t>
      </w:r>
      <w:r>
        <w:rPr>
          <w:rFonts w:hint="default" w:ascii="仿宋" w:hAnsi="仿宋" w:eastAsia="仿宋" w:cs="仿宋"/>
          <w:b/>
          <w:bCs w:val="0"/>
          <w:color w:val="auto"/>
          <w:spacing w:val="0"/>
          <w:kern w:val="0"/>
          <w:sz w:val="32"/>
          <w:szCs w:val="32"/>
          <w:highlight w:val="none"/>
          <w:lang w:val="en-US" w:eastAsia="zh-CN" w:bidi="ar"/>
        </w:rPr>
        <w:t>第</w:t>
      </w:r>
      <w:r>
        <w:rPr>
          <w:rFonts w:hint="eastAsia" w:ascii="仿宋" w:hAnsi="仿宋" w:eastAsia="仿宋" w:cs="仿宋"/>
          <w:b/>
          <w:bCs w:val="0"/>
          <w:color w:val="auto"/>
          <w:spacing w:val="0"/>
          <w:kern w:val="0"/>
          <w:sz w:val="32"/>
          <w:szCs w:val="32"/>
          <w:highlight w:val="none"/>
          <w:lang w:val="en-US" w:eastAsia="zh-CN" w:bidi="ar"/>
        </w:rPr>
        <w:t>六</w:t>
      </w:r>
      <w:r>
        <w:rPr>
          <w:rFonts w:hint="default" w:ascii="仿宋" w:hAnsi="仿宋" w:eastAsia="仿宋" w:cs="仿宋"/>
          <w:b/>
          <w:bCs w:val="0"/>
          <w:color w:val="auto"/>
          <w:spacing w:val="0"/>
          <w:kern w:val="0"/>
          <w:sz w:val="32"/>
          <w:szCs w:val="32"/>
          <w:highlight w:val="none"/>
          <w:lang w:val="en-US" w:eastAsia="zh-CN" w:bidi="ar"/>
        </w:rPr>
        <w:t>条</w:t>
      </w:r>
      <w:r>
        <w:rPr>
          <w:rFonts w:hint="eastAsia" w:ascii="Times New Roman" w:hAnsi="Times New Roman" w:eastAsia="仿宋_GB2312" w:cs="Times New Roman"/>
          <w:bCs/>
          <w:color w:val="auto"/>
          <w:spacing w:val="0"/>
          <w:kern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highlight w:val="none"/>
          <w:lang w:val="en-US" w:eastAsia="zh-CN" w:bidi="ar"/>
        </w:rPr>
        <w:t>代理机构接受</w:t>
      </w:r>
      <w:r>
        <w:rPr>
          <w:rFonts w:hint="eastAsia" w:ascii="Times New Roman" w:hAnsi="Times New Roman" w:eastAsia="仿宋" w:cs="Times New Roman"/>
          <w:bCs/>
          <w:color w:val="auto"/>
          <w:spacing w:val="0"/>
          <w:kern w:val="0"/>
          <w:sz w:val="32"/>
          <w:szCs w:val="32"/>
          <w:highlight w:val="none"/>
          <w:lang w:val="en-US" w:eastAsia="zh-CN" w:bidi="ar"/>
        </w:rPr>
        <w:t>项目发起方</w:t>
      </w:r>
      <w:r>
        <w:rPr>
          <w:rFonts w:hint="default" w:ascii="Times New Roman" w:hAnsi="Times New Roman" w:eastAsia="仿宋" w:cs="Times New Roman"/>
          <w:bCs/>
          <w:color w:val="auto"/>
          <w:spacing w:val="0"/>
          <w:kern w:val="0"/>
          <w:sz w:val="32"/>
          <w:szCs w:val="32"/>
          <w:highlight w:val="none"/>
          <w:lang w:val="en-US" w:eastAsia="zh-CN" w:bidi="ar"/>
        </w:rPr>
        <w:t>的委托，应按照法定程序和</w:t>
      </w:r>
      <w:r>
        <w:rPr>
          <w:rFonts w:hint="eastAsia" w:ascii="Times New Roman" w:hAnsi="Times New Roman" w:eastAsia="仿宋" w:cs="Times New Roman"/>
          <w:bCs/>
          <w:color w:val="auto"/>
          <w:spacing w:val="0"/>
          <w:kern w:val="0"/>
          <w:sz w:val="32"/>
          <w:szCs w:val="32"/>
          <w:highlight w:val="none"/>
          <w:lang w:val="en-US" w:eastAsia="zh-CN" w:bidi="ar"/>
        </w:rPr>
        <w:t>交易中心</w:t>
      </w:r>
      <w:r>
        <w:rPr>
          <w:rFonts w:hint="default" w:ascii="Times New Roman" w:hAnsi="Times New Roman" w:eastAsia="仿宋" w:cs="Times New Roman"/>
          <w:bCs/>
          <w:color w:val="auto"/>
          <w:spacing w:val="0"/>
          <w:kern w:val="0"/>
          <w:sz w:val="32"/>
          <w:szCs w:val="32"/>
          <w:highlight w:val="none"/>
          <w:lang w:val="en-US" w:eastAsia="zh-CN" w:bidi="ar"/>
        </w:rPr>
        <w:t>确定的交易流程实施代理业务</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严格按规定收取代理费用。</w:t>
      </w:r>
    </w:p>
    <w:p w14:paraId="3DC02D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仿宋" w:hAnsi="仿宋" w:eastAsia="仿宋" w:cs="仿宋"/>
          <w:b/>
          <w:bCs w:val="0"/>
          <w:color w:val="auto"/>
          <w:spacing w:val="0"/>
          <w:kern w:val="0"/>
          <w:sz w:val="32"/>
          <w:szCs w:val="32"/>
          <w:highlight w:val="none"/>
          <w:lang w:val="en-US" w:eastAsia="zh-CN" w:bidi="ar"/>
        </w:rPr>
        <w:t>第</w:t>
      </w:r>
      <w:r>
        <w:rPr>
          <w:rFonts w:hint="eastAsia" w:ascii="仿宋" w:hAnsi="仿宋" w:eastAsia="仿宋" w:cs="仿宋"/>
          <w:b/>
          <w:bCs w:val="0"/>
          <w:color w:val="auto"/>
          <w:spacing w:val="0"/>
          <w:kern w:val="0"/>
          <w:sz w:val="32"/>
          <w:szCs w:val="32"/>
          <w:highlight w:val="none"/>
          <w:lang w:val="en-US" w:eastAsia="zh-CN" w:bidi="ar"/>
        </w:rPr>
        <w:t>七</w:t>
      </w:r>
      <w:r>
        <w:rPr>
          <w:rFonts w:hint="default" w:ascii="仿宋" w:hAnsi="仿宋" w:eastAsia="仿宋" w:cs="仿宋"/>
          <w:b/>
          <w:bCs w:val="0"/>
          <w:color w:val="auto"/>
          <w:spacing w:val="0"/>
          <w:kern w:val="0"/>
          <w:sz w:val="32"/>
          <w:szCs w:val="32"/>
          <w:highlight w:val="none"/>
          <w:lang w:val="en-US" w:eastAsia="zh-CN" w:bidi="ar"/>
        </w:rPr>
        <w:t>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highlight w:val="none"/>
          <w:lang w:val="en-US" w:eastAsia="zh-CN" w:bidi="ar"/>
        </w:rPr>
        <w:t>代理机构</w:t>
      </w:r>
      <w:r>
        <w:rPr>
          <w:rFonts w:hint="eastAsia" w:ascii="Times New Roman" w:hAnsi="Times New Roman" w:eastAsia="仿宋" w:cs="Times New Roman"/>
          <w:bCs/>
          <w:color w:val="auto"/>
          <w:spacing w:val="0"/>
          <w:kern w:val="0"/>
          <w:sz w:val="32"/>
          <w:szCs w:val="32"/>
          <w:highlight w:val="none"/>
          <w:lang w:val="en-US" w:eastAsia="zh-CN" w:bidi="ar"/>
        </w:rPr>
        <w:t>进入交易中心从事代理业务时</w:t>
      </w:r>
      <w:r>
        <w:rPr>
          <w:rFonts w:hint="default" w:ascii="Times New Roman" w:hAnsi="Times New Roman" w:eastAsia="仿宋" w:cs="Times New Roman"/>
          <w:bCs/>
          <w:color w:val="auto"/>
          <w:spacing w:val="0"/>
          <w:kern w:val="0"/>
          <w:sz w:val="32"/>
          <w:szCs w:val="32"/>
          <w:highlight w:val="none"/>
          <w:lang w:val="en-US" w:eastAsia="zh-CN" w:bidi="ar"/>
        </w:rPr>
        <w:t>应遵守以下规定：</w:t>
      </w:r>
    </w:p>
    <w:p w14:paraId="2C4C21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（一）</w:t>
      </w:r>
      <w:r>
        <w:rPr>
          <w:rFonts w:hint="default" w:ascii="Times New Roman" w:hAnsi="Times New Roman" w:eastAsia="仿宋" w:cs="Times New Roman"/>
          <w:bCs/>
          <w:color w:val="auto"/>
          <w:spacing w:val="0"/>
          <w:kern w:val="0"/>
          <w:sz w:val="32"/>
          <w:szCs w:val="32"/>
          <w:highlight w:val="none"/>
          <w:lang w:val="en-US" w:eastAsia="zh-CN" w:bidi="ar"/>
        </w:rPr>
        <w:t>按照交易中心的交易流程要求，在规定时间内完成项目入场登记、交易资料提交、场地预约申请、公告发布、专家抽取、组织开标评标相关工作等交易环节内容；有关</w:t>
      </w:r>
      <w:r>
        <w:rPr>
          <w:rFonts w:hint="eastAsia" w:ascii="Times New Roman" w:hAnsi="Times New Roman" w:eastAsia="仿宋" w:cs="Times New Roman"/>
          <w:bCs/>
          <w:color w:val="auto"/>
          <w:spacing w:val="0"/>
          <w:kern w:val="0"/>
          <w:sz w:val="32"/>
          <w:szCs w:val="32"/>
          <w:highlight w:val="none"/>
          <w:lang w:val="en-US" w:eastAsia="zh-CN" w:bidi="ar"/>
        </w:rPr>
        <w:t>行政监督管理部门</w:t>
      </w:r>
      <w:r>
        <w:rPr>
          <w:rFonts w:hint="default" w:ascii="Times New Roman" w:hAnsi="Times New Roman" w:eastAsia="仿宋" w:cs="Times New Roman"/>
          <w:bCs/>
          <w:color w:val="auto"/>
          <w:spacing w:val="0"/>
          <w:kern w:val="0"/>
          <w:sz w:val="32"/>
          <w:szCs w:val="32"/>
          <w:highlight w:val="none"/>
          <w:lang w:val="en-US" w:eastAsia="zh-CN" w:bidi="ar"/>
        </w:rPr>
        <w:t>另有规定的按其规定执行</w:t>
      </w:r>
      <w:r>
        <w:rPr>
          <w:rFonts w:hint="eastAsia" w:ascii="Times New Roman" w:hAnsi="Times New Roman" w:eastAsia="仿宋" w:cs="Times New Roman"/>
          <w:bCs/>
          <w:color w:val="auto"/>
          <w:spacing w:val="0"/>
          <w:kern w:val="0"/>
          <w:sz w:val="32"/>
          <w:szCs w:val="32"/>
          <w:highlight w:val="none"/>
          <w:lang w:val="en-US" w:eastAsia="zh-CN" w:bidi="ar"/>
        </w:rPr>
        <w:t>；</w:t>
      </w:r>
    </w:p>
    <w:p w14:paraId="6EEADB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（二）</w:t>
      </w:r>
      <w:r>
        <w:rPr>
          <w:rFonts w:hint="default" w:ascii="Times New Roman" w:hAnsi="Times New Roman" w:eastAsia="仿宋" w:cs="Times New Roman"/>
          <w:bCs/>
          <w:color w:val="auto"/>
          <w:spacing w:val="0"/>
          <w:kern w:val="0"/>
          <w:sz w:val="32"/>
          <w:szCs w:val="32"/>
          <w:highlight w:val="none"/>
          <w:lang w:val="en-US" w:eastAsia="zh-CN" w:bidi="ar"/>
        </w:rPr>
        <w:t>在交易过程中，不得随意变更代理项目负责人及工作人员</w:t>
      </w:r>
      <w:r>
        <w:rPr>
          <w:rFonts w:hint="eastAsia" w:ascii="Times New Roman" w:hAnsi="Times New Roman" w:eastAsia="仿宋" w:cs="Times New Roman"/>
          <w:bCs/>
          <w:color w:val="auto"/>
          <w:spacing w:val="0"/>
          <w:kern w:val="0"/>
          <w:sz w:val="32"/>
          <w:szCs w:val="32"/>
          <w:highlight w:val="none"/>
          <w:lang w:val="en-US" w:eastAsia="zh-CN" w:bidi="ar"/>
        </w:rPr>
        <w:t>；</w:t>
      </w:r>
    </w:p>
    <w:p w14:paraId="3249EB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（三）</w:t>
      </w:r>
      <w:r>
        <w:rPr>
          <w:rFonts w:hint="default" w:ascii="Times New Roman" w:hAnsi="Times New Roman" w:eastAsia="仿宋" w:cs="Times New Roman"/>
          <w:bCs/>
          <w:color w:val="auto"/>
          <w:spacing w:val="0"/>
          <w:kern w:val="0"/>
          <w:sz w:val="32"/>
          <w:szCs w:val="32"/>
          <w:highlight w:val="none"/>
          <w:lang w:val="en-US" w:eastAsia="zh-CN" w:bidi="ar"/>
        </w:rPr>
        <w:t>项目入场登记受理按照公共资源交易中心开评标场所预约工作流程规定执行；通过交易平台告知项目信息</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包括但不限于多标段、大件样品、预计潜在</w:t>
      </w:r>
      <w:r>
        <w:rPr>
          <w:rFonts w:hint="eastAsia" w:ascii="Times New Roman" w:hAnsi="Times New Roman" w:eastAsia="仿宋" w:cs="Times New Roman"/>
          <w:bCs/>
          <w:color w:val="auto"/>
          <w:spacing w:val="0"/>
          <w:kern w:val="0"/>
          <w:sz w:val="32"/>
          <w:szCs w:val="32"/>
          <w:highlight w:val="none"/>
          <w:lang w:val="en-US" w:eastAsia="zh-CN" w:bidi="ar"/>
        </w:rPr>
        <w:t>项目响应方数量</w:t>
      </w:r>
      <w:r>
        <w:rPr>
          <w:rFonts w:hint="default" w:ascii="Times New Roman" w:hAnsi="Times New Roman" w:eastAsia="仿宋" w:cs="Times New Roman"/>
          <w:bCs/>
          <w:color w:val="auto"/>
          <w:spacing w:val="0"/>
          <w:kern w:val="0"/>
          <w:sz w:val="32"/>
          <w:szCs w:val="32"/>
          <w:highlight w:val="none"/>
          <w:lang w:val="en-US" w:eastAsia="zh-CN" w:bidi="ar"/>
        </w:rPr>
        <w:t>多、现场演示、远程异地评标</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需特定人员现场签到等专业化和个性化需求内容</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与交易中心相关部门事先沟通，做好前期准备工作；</w:t>
      </w:r>
      <w:r>
        <w:rPr>
          <w:rFonts w:hint="eastAsia" w:ascii="Times New Roman" w:hAnsi="Times New Roman" w:eastAsia="仿宋" w:cs="Times New Roman"/>
          <w:bCs/>
          <w:color w:val="auto"/>
          <w:spacing w:val="0"/>
          <w:kern w:val="0"/>
          <w:sz w:val="32"/>
          <w:szCs w:val="32"/>
          <w:highlight w:val="none"/>
          <w:lang w:val="en-US" w:eastAsia="zh-CN" w:bidi="ar"/>
        </w:rPr>
        <w:t>交易</w:t>
      </w:r>
      <w:r>
        <w:rPr>
          <w:rFonts w:hint="default" w:ascii="Times New Roman" w:hAnsi="Times New Roman" w:eastAsia="仿宋" w:cs="Times New Roman"/>
          <w:bCs/>
          <w:color w:val="auto"/>
          <w:spacing w:val="0"/>
          <w:kern w:val="0"/>
          <w:sz w:val="32"/>
          <w:szCs w:val="32"/>
          <w:highlight w:val="none"/>
          <w:lang w:val="en-US" w:eastAsia="zh-CN" w:bidi="ar"/>
        </w:rPr>
        <w:t>公告、</w:t>
      </w:r>
      <w:r>
        <w:rPr>
          <w:rFonts w:hint="eastAsia" w:ascii="Times New Roman" w:hAnsi="Times New Roman" w:eastAsia="仿宋" w:cs="Times New Roman"/>
          <w:bCs/>
          <w:color w:val="auto"/>
          <w:spacing w:val="0"/>
          <w:kern w:val="0"/>
          <w:sz w:val="32"/>
          <w:szCs w:val="32"/>
          <w:highlight w:val="none"/>
          <w:lang w:val="en-US" w:eastAsia="zh-CN" w:bidi="ar"/>
        </w:rPr>
        <w:t>交易</w:t>
      </w:r>
      <w:r>
        <w:rPr>
          <w:rFonts w:hint="default" w:ascii="Times New Roman" w:hAnsi="Times New Roman" w:eastAsia="仿宋" w:cs="Times New Roman"/>
          <w:bCs/>
          <w:color w:val="auto"/>
          <w:spacing w:val="0"/>
          <w:kern w:val="0"/>
          <w:sz w:val="32"/>
          <w:szCs w:val="32"/>
          <w:highlight w:val="none"/>
          <w:lang w:val="en-US" w:eastAsia="zh-CN" w:bidi="ar"/>
        </w:rPr>
        <w:t>文件、答疑澄清或者补充文件、</w:t>
      </w:r>
      <w:r>
        <w:rPr>
          <w:rFonts w:hint="eastAsia" w:ascii="Times New Roman" w:hAnsi="Times New Roman" w:eastAsia="仿宋" w:cs="Times New Roman"/>
          <w:bCs/>
          <w:color w:val="auto"/>
          <w:spacing w:val="0"/>
          <w:kern w:val="0"/>
          <w:sz w:val="32"/>
          <w:szCs w:val="32"/>
          <w:highlight w:val="none"/>
          <w:lang w:val="en-US" w:eastAsia="zh-CN" w:bidi="ar"/>
        </w:rPr>
        <w:t>成交结果公示</w:t>
      </w:r>
      <w:r>
        <w:rPr>
          <w:rFonts w:hint="default" w:ascii="Times New Roman" w:hAnsi="Times New Roman" w:eastAsia="仿宋" w:cs="Times New Roman"/>
          <w:bCs/>
          <w:color w:val="auto"/>
          <w:spacing w:val="0"/>
          <w:kern w:val="0"/>
          <w:sz w:val="32"/>
          <w:szCs w:val="32"/>
          <w:highlight w:val="none"/>
          <w:lang w:val="en-US" w:eastAsia="zh-CN" w:bidi="ar"/>
        </w:rPr>
        <w:t>等相关交易资料内容符合规范要求，报送及时、无错漏，纸质版</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若有</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和电子版</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含网上发布的交易信息</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内容一致</w:t>
      </w:r>
      <w:r>
        <w:rPr>
          <w:rFonts w:hint="eastAsia" w:ascii="Times New Roman" w:hAnsi="Times New Roman" w:eastAsia="仿宋" w:cs="Times New Roman"/>
          <w:bCs/>
          <w:color w:val="auto"/>
          <w:spacing w:val="0"/>
          <w:kern w:val="0"/>
          <w:sz w:val="32"/>
          <w:szCs w:val="32"/>
          <w:highlight w:val="none"/>
          <w:lang w:val="en-US" w:eastAsia="zh-CN" w:bidi="ar"/>
        </w:rPr>
        <w:t>；</w:t>
      </w:r>
    </w:p>
    <w:p w14:paraId="7250F7E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（四）</w:t>
      </w:r>
      <w:r>
        <w:rPr>
          <w:rFonts w:hint="default" w:ascii="Times New Roman" w:hAnsi="Times New Roman" w:eastAsia="仿宋" w:cs="Times New Roman"/>
          <w:bCs/>
          <w:color w:val="auto"/>
          <w:spacing w:val="0"/>
          <w:kern w:val="0"/>
          <w:sz w:val="32"/>
          <w:szCs w:val="32"/>
          <w:highlight w:val="none"/>
          <w:lang w:val="en-US" w:eastAsia="zh-CN" w:bidi="ar"/>
        </w:rPr>
        <w:t>代理机构应提前到达交易场所，进行交易场所布置，按照现场管理</w:t>
      </w:r>
      <w:r>
        <w:rPr>
          <w:rFonts w:hint="eastAsia" w:ascii="Times New Roman" w:hAnsi="Times New Roman" w:eastAsia="仿宋" w:cs="Times New Roman"/>
          <w:bCs/>
          <w:color w:val="auto"/>
          <w:spacing w:val="0"/>
          <w:kern w:val="0"/>
          <w:sz w:val="32"/>
          <w:szCs w:val="32"/>
          <w:highlight w:val="none"/>
          <w:lang w:val="en-US" w:eastAsia="zh-CN" w:bidi="ar"/>
        </w:rPr>
        <w:t>规定</w:t>
      </w:r>
      <w:r>
        <w:rPr>
          <w:rFonts w:hint="default" w:ascii="Times New Roman" w:hAnsi="Times New Roman" w:eastAsia="仿宋" w:cs="Times New Roman"/>
          <w:bCs/>
          <w:color w:val="auto"/>
          <w:spacing w:val="0"/>
          <w:kern w:val="0"/>
          <w:sz w:val="32"/>
          <w:szCs w:val="32"/>
          <w:highlight w:val="none"/>
          <w:lang w:val="en-US" w:eastAsia="zh-CN" w:bidi="ar"/>
        </w:rPr>
        <w:t>有序组织开标评标</w:t>
      </w:r>
      <w:r>
        <w:rPr>
          <w:rFonts w:hint="eastAsia" w:ascii="Times New Roman" w:hAnsi="Times New Roman" w:eastAsia="仿宋" w:cs="Times New Roman"/>
          <w:bCs/>
          <w:color w:val="auto"/>
          <w:spacing w:val="0"/>
          <w:kern w:val="0"/>
          <w:sz w:val="32"/>
          <w:szCs w:val="32"/>
          <w:highlight w:val="none"/>
          <w:lang w:val="en-US" w:eastAsia="zh-CN" w:bidi="ar"/>
        </w:rPr>
        <w:t>、拍卖等交易</w:t>
      </w:r>
      <w:r>
        <w:rPr>
          <w:rFonts w:hint="default" w:ascii="Times New Roman" w:hAnsi="Times New Roman" w:eastAsia="仿宋" w:cs="Times New Roman"/>
          <w:bCs/>
          <w:color w:val="auto"/>
          <w:spacing w:val="0"/>
          <w:kern w:val="0"/>
          <w:sz w:val="32"/>
          <w:szCs w:val="32"/>
          <w:highlight w:val="none"/>
          <w:lang w:val="en-US" w:eastAsia="zh-CN" w:bidi="ar"/>
        </w:rPr>
        <w:t>相关工作，安排维持交易活动秩序</w:t>
      </w:r>
      <w:r>
        <w:rPr>
          <w:rFonts w:hint="eastAsia" w:ascii="Times New Roman" w:hAnsi="Times New Roman" w:eastAsia="仿宋" w:cs="Times New Roman"/>
          <w:bCs/>
          <w:color w:val="auto"/>
          <w:spacing w:val="0"/>
          <w:kern w:val="0"/>
          <w:sz w:val="32"/>
          <w:szCs w:val="32"/>
          <w:highlight w:val="none"/>
          <w:lang w:val="en-US" w:eastAsia="zh-CN" w:bidi="ar"/>
        </w:rPr>
        <w:t>；</w:t>
      </w:r>
    </w:p>
    <w:p w14:paraId="578A49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（五）代理机构应依法遵守相关保密规定，</w:t>
      </w:r>
      <w:r>
        <w:rPr>
          <w:rFonts w:hint="default" w:ascii="Times New Roman" w:hAnsi="Times New Roman" w:eastAsia="仿宋" w:cs="Times New Roman"/>
          <w:bCs/>
          <w:color w:val="auto"/>
          <w:spacing w:val="0"/>
          <w:kern w:val="0"/>
          <w:sz w:val="32"/>
          <w:szCs w:val="32"/>
          <w:highlight w:val="none"/>
          <w:lang w:val="en-US" w:eastAsia="zh-CN" w:bidi="ar"/>
        </w:rPr>
        <w:t>严格遵守</w:t>
      </w:r>
      <w:r>
        <w:rPr>
          <w:rFonts w:hint="eastAsia" w:ascii="Times New Roman" w:hAnsi="Times New Roman" w:eastAsia="仿宋" w:cs="Times New Roman"/>
          <w:bCs/>
          <w:color w:val="auto"/>
          <w:spacing w:val="0"/>
          <w:kern w:val="0"/>
          <w:sz w:val="32"/>
          <w:szCs w:val="32"/>
          <w:highlight w:val="none"/>
          <w:lang w:val="en-US" w:eastAsia="zh-CN" w:bidi="ar"/>
        </w:rPr>
        <w:t>交易中心</w:t>
      </w:r>
      <w:r>
        <w:rPr>
          <w:rFonts w:hint="default" w:ascii="Times New Roman" w:hAnsi="Times New Roman" w:eastAsia="仿宋" w:cs="Times New Roman"/>
          <w:bCs/>
          <w:color w:val="auto"/>
          <w:spacing w:val="0"/>
          <w:kern w:val="0"/>
          <w:sz w:val="32"/>
          <w:szCs w:val="32"/>
          <w:highlight w:val="none"/>
          <w:lang w:val="en-US" w:eastAsia="zh-CN" w:bidi="ar"/>
        </w:rPr>
        <w:t>相关管理规定和应急管理</w:t>
      </w:r>
      <w:r>
        <w:rPr>
          <w:rFonts w:hint="eastAsia" w:ascii="Times New Roman" w:hAnsi="Times New Roman" w:eastAsia="仿宋" w:cs="Times New Roman"/>
          <w:bCs/>
          <w:color w:val="auto"/>
          <w:spacing w:val="0"/>
          <w:kern w:val="0"/>
          <w:sz w:val="32"/>
          <w:szCs w:val="32"/>
          <w:highlight w:val="none"/>
          <w:lang w:val="en-US" w:eastAsia="zh-CN" w:bidi="ar"/>
        </w:rPr>
        <w:t>要求</w:t>
      </w:r>
      <w:r>
        <w:rPr>
          <w:rFonts w:hint="default" w:ascii="Times New Roman" w:hAnsi="Times New Roman" w:eastAsia="仿宋" w:cs="Times New Roman"/>
          <w:bCs/>
          <w:color w:val="auto"/>
          <w:spacing w:val="0"/>
          <w:kern w:val="0"/>
          <w:sz w:val="32"/>
          <w:szCs w:val="32"/>
          <w:highlight w:val="none"/>
          <w:lang w:val="en-US" w:eastAsia="zh-CN" w:bidi="ar"/>
        </w:rPr>
        <w:t>；</w:t>
      </w:r>
    </w:p>
    <w:p w14:paraId="2A8104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（六）配合交易中心做好辅助监管相关工作；</w:t>
      </w:r>
    </w:p>
    <w:p w14:paraId="58F223A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（七）</w:t>
      </w:r>
      <w:r>
        <w:rPr>
          <w:rFonts w:hint="default" w:ascii="Times New Roman" w:hAnsi="Times New Roman" w:eastAsia="仿宋" w:cs="Times New Roman"/>
          <w:bCs/>
          <w:color w:val="auto"/>
          <w:spacing w:val="0"/>
          <w:kern w:val="0"/>
          <w:sz w:val="32"/>
          <w:szCs w:val="32"/>
          <w:highlight w:val="none"/>
          <w:lang w:val="en-US" w:eastAsia="zh-CN" w:bidi="ar"/>
        </w:rPr>
        <w:t>使用电子交易系统的，应按数据规范进行数据填报和项目操作。并按照数据规范将交易环节、交易数据及时、准确、完整地推送至公共资源交易服务系统</w:t>
      </w:r>
      <w:r>
        <w:rPr>
          <w:rFonts w:hint="eastAsia" w:ascii="Times New Roman" w:hAnsi="Times New Roman" w:eastAsia="仿宋" w:cs="Times New Roman"/>
          <w:bCs/>
          <w:color w:val="auto"/>
          <w:spacing w:val="0"/>
          <w:kern w:val="0"/>
          <w:sz w:val="32"/>
          <w:szCs w:val="32"/>
          <w:highlight w:val="none"/>
          <w:lang w:val="en-US" w:eastAsia="zh-CN" w:bidi="ar"/>
        </w:rPr>
        <w:t>、监管系统</w:t>
      </w:r>
      <w:r>
        <w:rPr>
          <w:rFonts w:hint="default" w:ascii="Times New Roman" w:hAnsi="Times New Roman" w:eastAsia="仿宋" w:cs="Times New Roman"/>
          <w:bCs/>
          <w:color w:val="auto"/>
          <w:spacing w:val="0"/>
          <w:kern w:val="0"/>
          <w:sz w:val="32"/>
          <w:szCs w:val="32"/>
          <w:highlight w:val="none"/>
          <w:lang w:val="en-US" w:eastAsia="zh-CN" w:bidi="ar"/>
        </w:rPr>
        <w:t>；</w:t>
      </w:r>
    </w:p>
    <w:p w14:paraId="3E9F4D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w:t>
      </w:r>
      <w:r>
        <w:rPr>
          <w:rFonts w:hint="eastAsia" w:ascii="Times New Roman" w:hAnsi="Times New Roman" w:eastAsia="仿宋" w:cs="Times New Roman"/>
          <w:bCs/>
          <w:color w:val="auto"/>
          <w:spacing w:val="0"/>
          <w:kern w:val="0"/>
          <w:sz w:val="32"/>
          <w:szCs w:val="32"/>
          <w:highlight w:val="none"/>
          <w:lang w:val="en-US" w:eastAsia="zh-CN" w:bidi="ar"/>
        </w:rPr>
        <w:t>八</w:t>
      </w:r>
      <w:r>
        <w:rPr>
          <w:rFonts w:hint="default" w:ascii="Times New Roman" w:hAnsi="Times New Roman" w:eastAsia="仿宋" w:cs="Times New Roman"/>
          <w:bCs/>
          <w:color w:val="auto"/>
          <w:spacing w:val="0"/>
          <w:kern w:val="0"/>
          <w:sz w:val="32"/>
          <w:szCs w:val="32"/>
          <w:highlight w:val="none"/>
          <w:lang w:val="en-US" w:eastAsia="zh-CN" w:bidi="ar"/>
        </w:rPr>
        <w:t>）配合</w:t>
      </w:r>
      <w:r>
        <w:rPr>
          <w:rFonts w:hint="eastAsia" w:ascii="Times New Roman" w:hAnsi="Times New Roman" w:eastAsia="仿宋" w:cs="Times New Roman"/>
          <w:bCs/>
          <w:color w:val="auto"/>
          <w:spacing w:val="0"/>
          <w:kern w:val="0"/>
          <w:sz w:val="32"/>
          <w:szCs w:val="32"/>
          <w:highlight w:val="none"/>
          <w:lang w:val="en-US" w:eastAsia="zh-CN" w:bidi="ar"/>
        </w:rPr>
        <w:t>交易中心</w:t>
      </w:r>
      <w:r>
        <w:rPr>
          <w:rFonts w:hint="default" w:ascii="Times New Roman" w:hAnsi="Times New Roman" w:eastAsia="仿宋" w:cs="Times New Roman"/>
          <w:bCs/>
          <w:color w:val="auto"/>
          <w:spacing w:val="0"/>
          <w:kern w:val="0"/>
          <w:sz w:val="32"/>
          <w:szCs w:val="32"/>
          <w:highlight w:val="none"/>
          <w:lang w:val="en-US" w:eastAsia="zh-CN" w:bidi="ar"/>
        </w:rPr>
        <w:t>做好优化营商环境工作，严格执行相关法律法规和规章规定。</w:t>
      </w:r>
    </w:p>
    <w:p w14:paraId="36B470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仿宋" w:hAnsi="仿宋" w:eastAsia="仿宋" w:cs="仿宋"/>
          <w:b/>
          <w:bCs w:val="0"/>
          <w:color w:val="auto"/>
          <w:spacing w:val="0"/>
          <w:kern w:val="0"/>
          <w:sz w:val="32"/>
          <w:szCs w:val="32"/>
          <w:highlight w:val="none"/>
          <w:lang w:val="en-US" w:eastAsia="zh-CN" w:bidi="ar"/>
        </w:rPr>
        <w:t>第</w:t>
      </w:r>
      <w:r>
        <w:rPr>
          <w:rFonts w:hint="eastAsia" w:ascii="仿宋" w:hAnsi="仿宋" w:eastAsia="仿宋" w:cs="仿宋"/>
          <w:b/>
          <w:bCs w:val="0"/>
          <w:color w:val="auto"/>
          <w:spacing w:val="0"/>
          <w:kern w:val="0"/>
          <w:sz w:val="32"/>
          <w:szCs w:val="32"/>
          <w:highlight w:val="none"/>
          <w:lang w:val="en-US" w:eastAsia="zh-CN" w:bidi="ar"/>
        </w:rPr>
        <w:t>八</w:t>
      </w:r>
      <w:r>
        <w:rPr>
          <w:rFonts w:hint="default" w:ascii="仿宋" w:hAnsi="仿宋" w:eastAsia="仿宋" w:cs="仿宋"/>
          <w:b/>
          <w:bCs w:val="0"/>
          <w:color w:val="auto"/>
          <w:spacing w:val="0"/>
          <w:kern w:val="0"/>
          <w:sz w:val="32"/>
          <w:szCs w:val="32"/>
          <w:highlight w:val="none"/>
          <w:lang w:val="en-US" w:eastAsia="zh-CN" w:bidi="ar"/>
        </w:rPr>
        <w:t>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highlight w:val="none"/>
          <w:lang w:val="en-US" w:eastAsia="zh-CN" w:bidi="ar"/>
        </w:rPr>
        <w:t>代理机构应加强工作人员管理，不得安排非本</w:t>
      </w:r>
      <w:r>
        <w:rPr>
          <w:rFonts w:hint="eastAsia" w:ascii="Times New Roman" w:hAnsi="Times New Roman" w:eastAsia="仿宋" w:cs="Times New Roman"/>
          <w:bCs/>
          <w:color w:val="auto"/>
          <w:spacing w:val="0"/>
          <w:kern w:val="0"/>
          <w:sz w:val="32"/>
          <w:szCs w:val="32"/>
          <w:highlight w:val="none"/>
          <w:lang w:val="en-US" w:eastAsia="zh-CN" w:bidi="ar"/>
        </w:rPr>
        <w:t>机构</w:t>
      </w:r>
      <w:r>
        <w:rPr>
          <w:rFonts w:hint="default" w:ascii="Times New Roman" w:hAnsi="Times New Roman" w:eastAsia="仿宋" w:cs="Times New Roman"/>
          <w:bCs/>
          <w:color w:val="auto"/>
          <w:spacing w:val="0"/>
          <w:kern w:val="0"/>
          <w:sz w:val="32"/>
          <w:szCs w:val="32"/>
          <w:highlight w:val="none"/>
          <w:lang w:val="en-US" w:eastAsia="zh-CN" w:bidi="ar"/>
        </w:rPr>
        <w:t>人员或不具备相应能力的人员进入</w:t>
      </w:r>
      <w:r>
        <w:rPr>
          <w:rFonts w:hint="eastAsia" w:ascii="Times New Roman" w:hAnsi="Times New Roman" w:eastAsia="仿宋" w:cs="Times New Roman"/>
          <w:bCs/>
          <w:color w:val="auto"/>
          <w:spacing w:val="0"/>
          <w:kern w:val="0"/>
          <w:sz w:val="32"/>
          <w:szCs w:val="32"/>
          <w:highlight w:val="none"/>
          <w:lang w:val="en-US" w:eastAsia="zh-CN" w:bidi="ar"/>
        </w:rPr>
        <w:t>交易中心</w:t>
      </w:r>
      <w:r>
        <w:rPr>
          <w:rFonts w:hint="default" w:ascii="Times New Roman" w:hAnsi="Times New Roman" w:eastAsia="仿宋" w:cs="Times New Roman"/>
          <w:bCs/>
          <w:color w:val="auto"/>
          <w:spacing w:val="0"/>
          <w:kern w:val="0"/>
          <w:sz w:val="32"/>
          <w:szCs w:val="32"/>
          <w:highlight w:val="none"/>
          <w:lang w:val="en-US" w:eastAsia="zh-CN" w:bidi="ar"/>
        </w:rPr>
        <w:t>从事代理业务。</w:t>
      </w:r>
    </w:p>
    <w:p w14:paraId="018F0D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（一）进入</w:t>
      </w:r>
      <w:r>
        <w:rPr>
          <w:rFonts w:hint="eastAsia" w:ascii="Times New Roman" w:hAnsi="Times New Roman" w:eastAsia="仿宋" w:cs="Times New Roman"/>
          <w:bCs/>
          <w:color w:val="auto"/>
          <w:spacing w:val="0"/>
          <w:kern w:val="0"/>
          <w:sz w:val="32"/>
          <w:szCs w:val="32"/>
          <w:highlight w:val="none"/>
          <w:lang w:val="en-US" w:eastAsia="zh-CN" w:bidi="ar"/>
        </w:rPr>
        <w:t>交易中心</w:t>
      </w:r>
      <w:r>
        <w:rPr>
          <w:rFonts w:hint="default" w:ascii="Times New Roman" w:hAnsi="Times New Roman" w:eastAsia="仿宋" w:cs="Times New Roman"/>
          <w:bCs/>
          <w:color w:val="auto"/>
          <w:spacing w:val="0"/>
          <w:kern w:val="0"/>
          <w:sz w:val="32"/>
          <w:szCs w:val="32"/>
          <w:highlight w:val="none"/>
          <w:lang w:val="en-US" w:eastAsia="zh-CN" w:bidi="ar"/>
        </w:rPr>
        <w:t>的代理机构从业人员应是本单位</w:t>
      </w:r>
      <w:r>
        <w:rPr>
          <w:rFonts w:hint="eastAsia" w:ascii="Times New Roman" w:hAnsi="Times New Roman" w:eastAsia="仿宋" w:cs="Times New Roman"/>
          <w:bCs/>
          <w:color w:val="auto"/>
          <w:spacing w:val="0"/>
          <w:kern w:val="0"/>
          <w:sz w:val="32"/>
          <w:szCs w:val="32"/>
          <w:highlight w:val="none"/>
          <w:lang w:val="en-US" w:eastAsia="zh-CN" w:bidi="ar"/>
        </w:rPr>
        <w:t>正式</w:t>
      </w:r>
      <w:r>
        <w:rPr>
          <w:rFonts w:hint="default" w:ascii="Times New Roman" w:hAnsi="Times New Roman" w:eastAsia="仿宋" w:cs="Times New Roman"/>
          <w:bCs/>
          <w:color w:val="auto"/>
          <w:spacing w:val="0"/>
          <w:kern w:val="0"/>
          <w:sz w:val="32"/>
          <w:szCs w:val="32"/>
          <w:highlight w:val="none"/>
          <w:lang w:val="en-US" w:eastAsia="zh-CN" w:bidi="ar"/>
        </w:rPr>
        <w:t>职工；</w:t>
      </w:r>
    </w:p>
    <w:p w14:paraId="1C23ED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（二）代理机构从业人员应熟悉国家、自治区公共资源交易相关法律法规；</w:t>
      </w:r>
    </w:p>
    <w:p w14:paraId="01CAE6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（三）代理机构从业人员应熟悉进场交易的工作流程、操作程序和相关规定等，能熟练使用公共资源交易系统；</w:t>
      </w:r>
    </w:p>
    <w:p w14:paraId="605E22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（四）代理机构从业人员应熟悉并遵守开评标现场相关管理规定；</w:t>
      </w:r>
    </w:p>
    <w:p w14:paraId="35C7D4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（五）代理机构从业人员应接受</w:t>
      </w:r>
      <w:r>
        <w:rPr>
          <w:rFonts w:hint="eastAsia" w:ascii="Times New Roman" w:hAnsi="Times New Roman" w:eastAsia="仿宋" w:cs="Times New Roman"/>
          <w:bCs/>
          <w:color w:val="auto"/>
          <w:spacing w:val="0"/>
          <w:kern w:val="0"/>
          <w:sz w:val="32"/>
          <w:szCs w:val="32"/>
          <w:highlight w:val="none"/>
          <w:lang w:val="en-US" w:eastAsia="zh-CN" w:bidi="ar"/>
        </w:rPr>
        <w:t>自治区</w:t>
      </w:r>
      <w:r>
        <w:rPr>
          <w:rFonts w:hint="default" w:ascii="Times New Roman" w:hAnsi="Times New Roman" w:eastAsia="仿宋" w:cs="Times New Roman"/>
          <w:bCs/>
          <w:color w:val="auto"/>
          <w:spacing w:val="0"/>
          <w:kern w:val="0"/>
          <w:sz w:val="32"/>
          <w:szCs w:val="32"/>
          <w:highlight w:val="none"/>
          <w:lang w:val="en-US" w:eastAsia="zh-CN" w:bidi="ar"/>
        </w:rPr>
        <w:t>行业监督管理部门及自治区公共资源交易中心组织的业务培训并通过测试；</w:t>
      </w:r>
    </w:p>
    <w:p w14:paraId="23F8AD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（六）其他依法依规应当具备的相关要求。</w:t>
      </w:r>
    </w:p>
    <w:p w14:paraId="225DAAC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仿宋" w:hAnsi="仿宋" w:eastAsia="仿宋" w:cs="仿宋"/>
          <w:b/>
          <w:bCs w:val="0"/>
          <w:color w:val="auto"/>
          <w:spacing w:val="0"/>
          <w:kern w:val="0"/>
          <w:sz w:val="32"/>
          <w:szCs w:val="32"/>
          <w:highlight w:val="none"/>
          <w:lang w:val="en-US" w:eastAsia="zh-CN" w:bidi="ar"/>
        </w:rPr>
        <w:t>第</w:t>
      </w:r>
      <w:r>
        <w:rPr>
          <w:rFonts w:hint="eastAsia" w:ascii="仿宋" w:hAnsi="仿宋" w:eastAsia="仿宋" w:cs="仿宋"/>
          <w:b/>
          <w:bCs w:val="0"/>
          <w:color w:val="auto"/>
          <w:spacing w:val="0"/>
          <w:kern w:val="0"/>
          <w:sz w:val="32"/>
          <w:szCs w:val="32"/>
          <w:highlight w:val="none"/>
          <w:lang w:val="en-US" w:eastAsia="zh-CN" w:bidi="ar"/>
        </w:rPr>
        <w:t>九</w:t>
      </w:r>
      <w:r>
        <w:rPr>
          <w:rFonts w:hint="default" w:ascii="仿宋" w:hAnsi="仿宋" w:eastAsia="仿宋" w:cs="仿宋"/>
          <w:b/>
          <w:bCs w:val="0"/>
          <w:color w:val="auto"/>
          <w:spacing w:val="0"/>
          <w:kern w:val="0"/>
          <w:sz w:val="32"/>
          <w:szCs w:val="32"/>
          <w:highlight w:val="none"/>
          <w:lang w:val="en-US" w:eastAsia="zh-CN" w:bidi="ar"/>
        </w:rPr>
        <w:t>条</w:t>
      </w:r>
      <w:r>
        <w:rPr>
          <w:rFonts w:hint="eastAsia" w:ascii="Times New Roman" w:hAnsi="Times New Roman" w:eastAsia="黑体" w:cs="Times New Roman"/>
          <w:bCs/>
          <w:color w:val="auto"/>
          <w:spacing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highlight w:val="none"/>
          <w:lang w:val="en-US" w:eastAsia="zh-CN" w:bidi="ar"/>
        </w:rPr>
        <w:t>代理机构代理的交易项目实行项目负责人制。进</w:t>
      </w:r>
      <w:r>
        <w:rPr>
          <w:rFonts w:hint="eastAsia" w:ascii="Times New Roman" w:hAnsi="Times New Roman" w:eastAsia="仿宋" w:cs="Times New Roman"/>
          <w:bCs/>
          <w:color w:val="auto"/>
          <w:spacing w:val="0"/>
          <w:kern w:val="0"/>
          <w:sz w:val="32"/>
          <w:szCs w:val="32"/>
          <w:highlight w:val="none"/>
          <w:lang w:val="en-US" w:eastAsia="zh-CN" w:bidi="ar"/>
        </w:rPr>
        <w:t>入</w:t>
      </w:r>
      <w:r>
        <w:rPr>
          <w:rFonts w:hint="default" w:ascii="Times New Roman" w:hAnsi="Times New Roman" w:eastAsia="仿宋" w:cs="Times New Roman"/>
          <w:bCs/>
          <w:color w:val="auto"/>
          <w:spacing w:val="0"/>
          <w:kern w:val="0"/>
          <w:sz w:val="32"/>
          <w:szCs w:val="32"/>
          <w:highlight w:val="none"/>
          <w:lang w:val="en-US" w:eastAsia="zh-CN" w:bidi="ar"/>
        </w:rPr>
        <w:t>交易场所的项目负责人应是招标代理合同中负责人。</w:t>
      </w:r>
    </w:p>
    <w:p w14:paraId="06C4C30C">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项目负责人不得担任同一评标时段其他项目的项目负责人。</w:t>
      </w:r>
    </w:p>
    <w:p w14:paraId="6AB81D2B">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default" w:ascii="仿宋" w:hAnsi="仿宋" w:eastAsia="仿宋" w:cs="仿宋"/>
          <w:b/>
          <w:bCs w:val="0"/>
          <w:color w:val="auto"/>
          <w:spacing w:val="0"/>
          <w:kern w:val="0"/>
          <w:sz w:val="32"/>
          <w:szCs w:val="32"/>
          <w:highlight w:val="none"/>
          <w:lang w:val="en-US" w:eastAsia="zh-CN" w:bidi="ar"/>
        </w:rPr>
      </w:pPr>
      <w:r>
        <w:rPr>
          <w:rFonts w:hint="default" w:ascii="仿宋" w:hAnsi="仿宋" w:eastAsia="仿宋" w:cs="仿宋"/>
          <w:b/>
          <w:bCs w:val="0"/>
          <w:color w:val="auto"/>
          <w:spacing w:val="0"/>
          <w:kern w:val="0"/>
          <w:sz w:val="32"/>
          <w:szCs w:val="32"/>
          <w:highlight w:val="none"/>
          <w:lang w:val="en-US" w:eastAsia="zh-CN" w:bidi="ar"/>
        </w:rPr>
        <w:t>第</w:t>
      </w:r>
      <w:r>
        <w:rPr>
          <w:rFonts w:hint="eastAsia" w:ascii="仿宋" w:hAnsi="仿宋" w:eastAsia="仿宋" w:cs="仿宋"/>
          <w:b/>
          <w:bCs w:val="0"/>
          <w:color w:val="auto"/>
          <w:spacing w:val="0"/>
          <w:kern w:val="0"/>
          <w:sz w:val="32"/>
          <w:szCs w:val="32"/>
          <w:highlight w:val="none"/>
          <w:lang w:val="en-US" w:eastAsia="zh-CN" w:bidi="ar"/>
        </w:rPr>
        <w:t>十</w:t>
      </w:r>
      <w:r>
        <w:rPr>
          <w:rFonts w:hint="default" w:ascii="仿宋" w:hAnsi="仿宋" w:eastAsia="仿宋" w:cs="仿宋"/>
          <w:b/>
          <w:bCs w:val="0"/>
          <w:color w:val="auto"/>
          <w:spacing w:val="0"/>
          <w:kern w:val="0"/>
          <w:sz w:val="32"/>
          <w:szCs w:val="32"/>
          <w:highlight w:val="none"/>
          <w:lang w:val="en-US" w:eastAsia="zh-CN" w:bidi="ar"/>
        </w:rPr>
        <w:t>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highlight w:val="none"/>
          <w:lang w:val="en-US" w:eastAsia="zh-CN" w:bidi="ar"/>
        </w:rPr>
        <w:t>代理机构应妥善使用和维护交易中心设施和设备， 因代理机构原因造成损坏的，应承担赔偿责任</w:t>
      </w:r>
      <w:r>
        <w:rPr>
          <w:rFonts w:hint="default" w:ascii="仿宋" w:hAnsi="仿宋" w:eastAsia="仿宋" w:cs="仿宋"/>
          <w:b/>
          <w:bCs w:val="0"/>
          <w:color w:val="auto"/>
          <w:spacing w:val="0"/>
          <w:kern w:val="0"/>
          <w:sz w:val="32"/>
          <w:szCs w:val="32"/>
          <w:highlight w:val="none"/>
          <w:lang w:val="en-US" w:eastAsia="zh-CN" w:bidi="ar"/>
        </w:rPr>
        <w:t>。</w:t>
      </w:r>
    </w:p>
    <w:p w14:paraId="651C3313">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default" w:ascii="仿宋" w:hAnsi="仿宋" w:eastAsia="仿宋" w:cs="仿宋"/>
          <w:b/>
          <w:bCs w:val="0"/>
          <w:color w:val="auto"/>
          <w:spacing w:val="0"/>
          <w:kern w:val="0"/>
          <w:sz w:val="32"/>
          <w:szCs w:val="32"/>
          <w:highlight w:val="none"/>
          <w:lang w:val="en-US" w:eastAsia="zh-CN" w:bidi="ar"/>
        </w:rPr>
      </w:pPr>
      <w:r>
        <w:rPr>
          <w:rFonts w:hint="default" w:ascii="仿宋" w:hAnsi="仿宋" w:eastAsia="仿宋" w:cs="仿宋"/>
          <w:b/>
          <w:bCs w:val="0"/>
          <w:color w:val="auto"/>
          <w:spacing w:val="0"/>
          <w:kern w:val="0"/>
          <w:sz w:val="32"/>
          <w:szCs w:val="32"/>
          <w:highlight w:val="none"/>
          <w:lang w:val="en-US" w:eastAsia="zh-CN" w:bidi="ar"/>
        </w:rPr>
        <w:t>第</w:t>
      </w:r>
      <w:r>
        <w:rPr>
          <w:rFonts w:hint="eastAsia" w:ascii="仿宋" w:hAnsi="仿宋" w:eastAsia="仿宋" w:cs="仿宋"/>
          <w:b/>
          <w:bCs w:val="0"/>
          <w:color w:val="auto"/>
          <w:spacing w:val="0"/>
          <w:kern w:val="0"/>
          <w:sz w:val="32"/>
          <w:szCs w:val="32"/>
          <w:highlight w:val="none"/>
          <w:lang w:val="en-US" w:eastAsia="zh-CN" w:bidi="ar"/>
        </w:rPr>
        <w:t>十一</w:t>
      </w:r>
      <w:r>
        <w:rPr>
          <w:rFonts w:hint="default" w:ascii="仿宋" w:hAnsi="仿宋" w:eastAsia="仿宋" w:cs="仿宋"/>
          <w:b/>
          <w:bCs w:val="0"/>
          <w:color w:val="auto"/>
          <w:spacing w:val="0"/>
          <w:kern w:val="0"/>
          <w:sz w:val="32"/>
          <w:szCs w:val="32"/>
          <w:highlight w:val="none"/>
          <w:lang w:val="en-US" w:eastAsia="zh-CN" w:bidi="ar"/>
        </w:rPr>
        <w:t>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highlight w:val="none"/>
          <w:lang w:val="en-US" w:eastAsia="zh-CN" w:bidi="ar"/>
        </w:rPr>
        <w:t>项目交易过程中出现异常情况和违法违规情况的</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代理机构应及时报告有关</w:t>
      </w:r>
      <w:r>
        <w:rPr>
          <w:rFonts w:hint="eastAsia" w:ascii="Times New Roman" w:hAnsi="Times New Roman" w:eastAsia="仿宋" w:cs="Times New Roman"/>
          <w:bCs/>
          <w:color w:val="auto"/>
          <w:spacing w:val="0"/>
          <w:kern w:val="0"/>
          <w:sz w:val="32"/>
          <w:szCs w:val="32"/>
          <w:highlight w:val="none"/>
          <w:lang w:val="en-US" w:eastAsia="zh-CN" w:bidi="ar"/>
        </w:rPr>
        <w:t>行政监督管理部门</w:t>
      </w:r>
      <w:r>
        <w:rPr>
          <w:rFonts w:hint="default" w:ascii="Times New Roman" w:hAnsi="Times New Roman" w:eastAsia="仿宋" w:cs="Times New Roman"/>
          <w:bCs/>
          <w:color w:val="auto"/>
          <w:spacing w:val="0"/>
          <w:kern w:val="0"/>
          <w:sz w:val="32"/>
          <w:szCs w:val="32"/>
          <w:highlight w:val="none"/>
          <w:lang w:val="en-US" w:eastAsia="zh-CN" w:bidi="ar"/>
        </w:rPr>
        <w:t>和交易中心。</w:t>
      </w:r>
    </w:p>
    <w:p w14:paraId="3B83E742">
      <w:pPr>
        <w:pStyle w:val="7"/>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仿宋" w:hAnsi="仿宋" w:eastAsia="仿宋" w:cs="仿宋"/>
          <w:b/>
          <w:bCs w:val="0"/>
          <w:color w:val="auto"/>
          <w:spacing w:val="0"/>
          <w:kern w:val="0"/>
          <w:sz w:val="32"/>
          <w:szCs w:val="32"/>
          <w:highlight w:val="none"/>
          <w:lang w:val="en-US" w:eastAsia="zh-CN" w:bidi="ar"/>
        </w:rPr>
        <w:t xml:space="preserve">第十二条 </w:t>
      </w:r>
      <w:r>
        <w:rPr>
          <w:rFonts w:hint="default" w:ascii="Times New Roman" w:hAnsi="Times New Roman" w:eastAsia="仿宋" w:cs="Times New Roman"/>
          <w:bCs/>
          <w:color w:val="auto"/>
          <w:spacing w:val="0"/>
          <w:kern w:val="0"/>
          <w:sz w:val="32"/>
          <w:szCs w:val="32"/>
          <w:highlight w:val="none"/>
          <w:lang w:val="en-US" w:eastAsia="zh-CN" w:bidi="ar"/>
        </w:rPr>
        <w:t>代理机构应按照有关规定配合有关行政监督部 门、</w:t>
      </w:r>
      <w:r>
        <w:rPr>
          <w:rFonts w:hint="eastAsia" w:ascii="Times New Roman" w:hAnsi="Times New Roman" w:eastAsia="仿宋" w:cs="Times New Roman"/>
          <w:bCs/>
          <w:color w:val="auto"/>
          <w:spacing w:val="0"/>
          <w:kern w:val="0"/>
          <w:sz w:val="32"/>
          <w:szCs w:val="32"/>
          <w:highlight w:val="none"/>
          <w:lang w:val="en-US" w:eastAsia="zh-CN" w:bidi="ar"/>
        </w:rPr>
        <w:t>项目发起方</w:t>
      </w:r>
      <w:r>
        <w:rPr>
          <w:rFonts w:hint="default" w:ascii="Times New Roman" w:hAnsi="Times New Roman" w:eastAsia="仿宋" w:cs="Times New Roman"/>
          <w:bCs/>
          <w:color w:val="auto"/>
          <w:spacing w:val="0"/>
          <w:kern w:val="0"/>
          <w:sz w:val="32"/>
          <w:szCs w:val="32"/>
          <w:highlight w:val="none"/>
          <w:lang w:val="en-US" w:eastAsia="zh-CN" w:bidi="ar"/>
        </w:rPr>
        <w:t>、交易中心做好质疑异议、投诉举报的调查处理工作</w:t>
      </w:r>
      <w:r>
        <w:rPr>
          <w:rFonts w:hint="default" w:ascii="仿宋" w:hAnsi="仿宋" w:eastAsia="仿宋" w:cs="仿宋"/>
          <w:b/>
          <w:bCs w:val="0"/>
          <w:color w:val="auto"/>
          <w:spacing w:val="0"/>
          <w:kern w:val="0"/>
          <w:sz w:val="32"/>
          <w:szCs w:val="32"/>
          <w:highlight w:val="none"/>
          <w:lang w:val="en-US" w:eastAsia="zh-CN" w:bidi="ar"/>
        </w:rPr>
        <w:t>。</w:t>
      </w:r>
    </w:p>
    <w:p w14:paraId="6C9C9751">
      <w:pPr>
        <w:pStyle w:val="7"/>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Cs/>
          <w:color w:val="auto"/>
          <w:spacing w:val="0"/>
          <w:kern w:val="0"/>
          <w:sz w:val="32"/>
          <w:szCs w:val="32"/>
          <w:highlight w:val="none"/>
          <w:lang w:val="en-US" w:eastAsia="zh-CN" w:bidi="ar"/>
        </w:rPr>
      </w:pPr>
      <w:r>
        <w:rPr>
          <w:rFonts w:hint="eastAsia" w:ascii="仿宋" w:hAnsi="仿宋" w:eastAsia="仿宋" w:cs="仿宋"/>
          <w:b/>
          <w:bCs w:val="0"/>
          <w:color w:val="auto"/>
          <w:spacing w:val="0"/>
          <w:kern w:val="0"/>
          <w:sz w:val="32"/>
          <w:szCs w:val="32"/>
          <w:highlight w:val="none"/>
          <w:lang w:val="en-US" w:eastAsia="zh-CN" w:bidi="ar"/>
        </w:rPr>
        <w:t>第十三条</w:t>
      </w:r>
      <w:r>
        <w:rPr>
          <w:rFonts w:hint="eastAsia" w:ascii="仿宋" w:hAnsi="仿宋" w:eastAsia="仿宋" w:cs="仿宋"/>
          <w:bCs/>
          <w:color w:val="auto"/>
          <w:spacing w:val="0"/>
          <w:kern w:val="0"/>
          <w:sz w:val="32"/>
          <w:szCs w:val="32"/>
          <w:highlight w:val="none"/>
          <w:lang w:val="en-US" w:eastAsia="zh-CN" w:bidi="ar"/>
        </w:rPr>
        <w:t xml:space="preserve"> 代理机构及其从业人员现场履职情况的评价工作采取“一标一评”原则，对进场交易的代理机构及其从业人员的现场履职行为进行量化考评，实行不良行为扣分的计分评价制。</w:t>
      </w:r>
    </w:p>
    <w:p w14:paraId="3860080B">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 w:hAnsi="仿宋" w:eastAsia="仿宋" w:cs="仿宋"/>
          <w:bCs/>
          <w:color w:val="auto"/>
          <w:spacing w:val="0"/>
          <w:kern w:val="0"/>
          <w:sz w:val="32"/>
          <w:szCs w:val="32"/>
          <w:highlight w:val="none"/>
          <w:lang w:val="en-US" w:eastAsia="zh-CN" w:bidi="ar"/>
        </w:rPr>
      </w:pPr>
      <w:r>
        <w:rPr>
          <w:rFonts w:hint="eastAsia" w:ascii="仿宋" w:hAnsi="仿宋" w:eastAsia="仿宋" w:cs="仿宋"/>
          <w:bCs/>
          <w:color w:val="auto"/>
          <w:spacing w:val="0"/>
          <w:kern w:val="0"/>
          <w:sz w:val="32"/>
          <w:szCs w:val="32"/>
          <w:highlight w:val="none"/>
          <w:lang w:val="en-US" w:eastAsia="zh-CN" w:bidi="ar"/>
        </w:rPr>
        <w:t>本办法所称“一标一评”，是指进入交易中心交易的公共资源</w:t>
      </w:r>
      <w:r>
        <w:rPr>
          <w:rFonts w:hint="eastAsia" w:ascii="仿宋" w:hAnsi="仿宋" w:eastAsia="仿宋" w:cs="仿宋"/>
          <w:bCs/>
          <w:color w:val="auto"/>
          <w:spacing w:val="0"/>
          <w:kern w:val="0"/>
          <w:sz w:val="32"/>
          <w:szCs w:val="32"/>
          <w:highlight w:val="none"/>
          <w:lang w:val="en-US" w:eastAsia="zh-CN" w:bidi="ar"/>
        </w:rPr>
        <w:t>项目在完成交易活动后，由交易中心组织、项目发起方、以及依据职责履行评价职能的行政监督管理部门作为评价主体对代理机构及其从业人员的现场履职情况进行评价，涉及服务规范方面履职情况还可邀请评标评审专家参与评价。</w:t>
      </w:r>
    </w:p>
    <w:p w14:paraId="061A7AB1">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Cs/>
          <w:color w:val="auto"/>
          <w:spacing w:val="0"/>
          <w:kern w:val="0"/>
          <w:sz w:val="32"/>
          <w:szCs w:val="32"/>
          <w:highlight w:val="none"/>
          <w:lang w:val="en-US" w:eastAsia="zh-CN" w:bidi="ar"/>
        </w:rPr>
      </w:pPr>
      <w:r>
        <w:rPr>
          <w:rFonts w:hint="eastAsia" w:ascii="仿宋" w:hAnsi="仿宋" w:eastAsia="仿宋" w:cs="仿宋"/>
          <w:bCs/>
          <w:color w:val="auto"/>
          <w:spacing w:val="0"/>
          <w:kern w:val="0"/>
          <w:sz w:val="32"/>
          <w:szCs w:val="32"/>
          <w:highlight w:val="none"/>
          <w:lang w:val="en-US" w:eastAsia="zh-CN" w:bidi="ar"/>
        </w:rPr>
        <w:t>本办法所称“一标一评”，不良行为，是指代理机</w:t>
      </w:r>
      <w:r>
        <w:rPr>
          <w:rFonts w:hint="eastAsia" w:ascii="仿宋" w:hAnsi="仿宋" w:eastAsia="仿宋" w:cs="仿宋"/>
          <w:bCs/>
          <w:color w:val="auto"/>
          <w:spacing w:val="0"/>
          <w:kern w:val="0"/>
          <w:sz w:val="32"/>
          <w:szCs w:val="32"/>
          <w:highlight w:val="none"/>
          <w:lang w:val="en-US" w:eastAsia="zh-CN" w:bidi="ar"/>
        </w:rPr>
        <w:t>构及其从业人员违反相关法律法规、规章和行政规范性文件规定，以及交易场所现场管理要求的行为。</w:t>
      </w:r>
    </w:p>
    <w:p w14:paraId="68AD6AE7">
      <w:pPr>
        <w:pStyle w:val="7"/>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仿宋" w:hAnsi="仿宋" w:eastAsia="仿宋" w:cs="仿宋"/>
          <w:b/>
          <w:bCs w:val="0"/>
          <w:color w:val="auto"/>
          <w:spacing w:val="0"/>
          <w:kern w:val="0"/>
          <w:sz w:val="32"/>
          <w:szCs w:val="32"/>
          <w:highlight w:val="none"/>
          <w:lang w:val="en-US" w:eastAsia="zh-CN" w:bidi="ar"/>
        </w:rPr>
        <w:t xml:space="preserve">第十四条 </w:t>
      </w:r>
      <w:r>
        <w:rPr>
          <w:rFonts w:hint="eastAsia" w:ascii="仿宋" w:hAnsi="仿宋" w:eastAsia="仿宋" w:cs="仿宋"/>
          <w:bCs/>
          <w:color w:val="auto"/>
          <w:spacing w:val="0"/>
          <w:kern w:val="0"/>
          <w:sz w:val="32"/>
          <w:szCs w:val="32"/>
          <w:highlight w:val="none"/>
          <w:lang w:val="en-US" w:eastAsia="zh-CN" w:bidi="ar"/>
        </w:rPr>
        <w:t>单个项目交易结束后，交易中心应当于项目交易结束5个工作日内，按照《自治区公共资源交易代理机构及从业人员现场履职情况评价记录表》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以下简称《评价记录表》，见附件</w:t>
      </w:r>
      <w:r>
        <w:rPr>
          <w:rFonts w:hint="eastAsia" w:ascii="仿宋" w:hAnsi="仿宋" w:eastAsia="仿宋" w:cs="仿宋"/>
          <w:color w:val="auto"/>
          <w:sz w:val="32"/>
          <w:szCs w:val="32"/>
          <w:highlight w:val="none"/>
          <w:lang w:eastAsia="zh-CN"/>
        </w:rPr>
        <w:t>）</w:t>
      </w:r>
      <w:r>
        <w:rPr>
          <w:rFonts w:hint="eastAsia" w:ascii="仿宋" w:hAnsi="仿宋" w:eastAsia="仿宋" w:cs="仿宋"/>
          <w:bCs/>
          <w:color w:val="auto"/>
          <w:spacing w:val="0"/>
          <w:kern w:val="0"/>
          <w:sz w:val="32"/>
          <w:szCs w:val="32"/>
          <w:highlight w:val="none"/>
          <w:lang w:val="en-US" w:eastAsia="zh-CN" w:bidi="ar"/>
        </w:rPr>
        <w:t>所列评价内容对代理机构及从业人员现场履职情况进行评价，对事实清楚的异常行为信息，扣减相应的分值；需进一步</w:t>
      </w:r>
      <w:r>
        <w:rPr>
          <w:rFonts w:hint="default" w:ascii="Times New Roman" w:hAnsi="Times New Roman" w:eastAsia="仿宋" w:cs="Times New Roman"/>
          <w:bCs/>
          <w:color w:val="auto"/>
          <w:spacing w:val="0"/>
          <w:kern w:val="0"/>
          <w:sz w:val="32"/>
          <w:szCs w:val="32"/>
          <w:highlight w:val="none"/>
          <w:lang w:val="en-US" w:eastAsia="zh-CN" w:bidi="ar"/>
        </w:rPr>
        <w:t>查证核实的，可现场进行查询调查异常事项，代理机构及从业人员应做好配合工作。事后调查取证发现存在应当扣分情形的，应当予以扣分。</w:t>
      </w:r>
    </w:p>
    <w:p w14:paraId="7CC02F97">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对尚不能确定，需报</w:t>
      </w:r>
      <w:r>
        <w:rPr>
          <w:rFonts w:hint="eastAsia" w:ascii="Times New Roman" w:hAnsi="Times New Roman" w:eastAsia="仿宋" w:cs="Times New Roman"/>
          <w:bCs/>
          <w:color w:val="auto"/>
          <w:spacing w:val="0"/>
          <w:kern w:val="0"/>
          <w:sz w:val="32"/>
          <w:szCs w:val="32"/>
          <w:highlight w:val="none"/>
          <w:lang w:val="en-US" w:eastAsia="zh-CN" w:bidi="ar"/>
        </w:rPr>
        <w:t>行政监督管理部门</w:t>
      </w:r>
      <w:r>
        <w:rPr>
          <w:rFonts w:hint="default" w:ascii="Times New Roman" w:hAnsi="Times New Roman" w:eastAsia="仿宋" w:cs="Times New Roman"/>
          <w:bCs/>
          <w:color w:val="auto"/>
          <w:spacing w:val="0"/>
          <w:kern w:val="0"/>
          <w:sz w:val="32"/>
          <w:szCs w:val="32"/>
          <w:highlight w:val="none"/>
          <w:lang w:val="en-US" w:eastAsia="zh-CN" w:bidi="ar"/>
        </w:rPr>
        <w:t>进一步核查的</w:t>
      </w:r>
      <w:r>
        <w:rPr>
          <w:rFonts w:hint="eastAsia" w:ascii="Times New Roman" w:hAnsi="Times New Roman" w:eastAsia="仿宋" w:cs="Times New Roman"/>
          <w:bCs/>
          <w:color w:val="auto"/>
          <w:spacing w:val="0"/>
          <w:kern w:val="0"/>
          <w:sz w:val="32"/>
          <w:szCs w:val="32"/>
          <w:highlight w:val="none"/>
          <w:lang w:val="en-US" w:eastAsia="zh-CN" w:bidi="ar"/>
        </w:rPr>
        <w:t>不良</w:t>
      </w:r>
      <w:r>
        <w:rPr>
          <w:rFonts w:hint="default" w:ascii="Times New Roman" w:hAnsi="Times New Roman" w:eastAsia="仿宋" w:cs="Times New Roman"/>
          <w:bCs/>
          <w:color w:val="auto"/>
          <w:spacing w:val="0"/>
          <w:kern w:val="0"/>
          <w:sz w:val="32"/>
          <w:szCs w:val="32"/>
          <w:highlight w:val="none"/>
          <w:lang w:val="en-US" w:eastAsia="zh-CN" w:bidi="ar"/>
        </w:rPr>
        <w:t>行为在记录中作出说明，暂不扣分。如相关</w:t>
      </w:r>
      <w:r>
        <w:rPr>
          <w:rFonts w:hint="eastAsia" w:ascii="Times New Roman" w:hAnsi="Times New Roman" w:eastAsia="仿宋" w:cs="Times New Roman"/>
          <w:bCs/>
          <w:color w:val="auto"/>
          <w:spacing w:val="0"/>
          <w:kern w:val="0"/>
          <w:sz w:val="32"/>
          <w:szCs w:val="32"/>
          <w:highlight w:val="none"/>
          <w:lang w:val="en-US" w:eastAsia="zh-CN" w:bidi="ar"/>
        </w:rPr>
        <w:t>行政监督管理部门</w:t>
      </w:r>
      <w:r>
        <w:rPr>
          <w:rFonts w:hint="default" w:ascii="Times New Roman" w:hAnsi="Times New Roman" w:eastAsia="仿宋" w:cs="Times New Roman"/>
          <w:bCs/>
          <w:color w:val="auto"/>
          <w:spacing w:val="0"/>
          <w:kern w:val="0"/>
          <w:sz w:val="32"/>
          <w:szCs w:val="32"/>
          <w:highlight w:val="none"/>
          <w:lang w:val="en-US" w:eastAsia="zh-CN" w:bidi="ar"/>
        </w:rPr>
        <w:t>经调查核实发现有违法违规行为的，依据处理结果对该中介代理机构</w:t>
      </w:r>
      <w:r>
        <w:rPr>
          <w:rFonts w:hint="eastAsia" w:ascii="Times New Roman" w:hAnsi="Times New Roman" w:eastAsia="仿宋" w:cs="Times New Roman"/>
          <w:bCs/>
          <w:color w:val="auto"/>
          <w:spacing w:val="0"/>
          <w:kern w:val="0"/>
          <w:sz w:val="32"/>
          <w:szCs w:val="32"/>
          <w:highlight w:val="none"/>
          <w:lang w:val="en-US" w:eastAsia="zh-CN" w:bidi="ar"/>
        </w:rPr>
        <w:t>及从业人员</w:t>
      </w:r>
      <w:r>
        <w:rPr>
          <w:rFonts w:hint="default" w:ascii="Times New Roman" w:hAnsi="Times New Roman" w:eastAsia="仿宋" w:cs="Times New Roman"/>
          <w:bCs/>
          <w:color w:val="auto"/>
          <w:spacing w:val="0"/>
          <w:kern w:val="0"/>
          <w:sz w:val="32"/>
          <w:szCs w:val="32"/>
          <w:highlight w:val="none"/>
          <w:lang w:val="en-US" w:eastAsia="zh-CN" w:bidi="ar"/>
        </w:rPr>
        <w:t>重新评价。</w:t>
      </w:r>
    </w:p>
    <w:p w14:paraId="6852F4AF">
      <w:pPr>
        <w:pStyle w:val="7"/>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仿宋" w:hAnsi="仿宋" w:eastAsia="仿宋" w:cs="仿宋"/>
          <w:b/>
          <w:bCs w:val="0"/>
          <w:color w:val="auto"/>
          <w:spacing w:val="0"/>
          <w:kern w:val="0"/>
          <w:sz w:val="32"/>
          <w:szCs w:val="32"/>
          <w:highlight w:val="none"/>
          <w:lang w:val="en-US" w:eastAsia="zh-CN" w:bidi="ar"/>
        </w:rPr>
        <w:t>第十五条</w:t>
      </w:r>
      <w:r>
        <w:rPr>
          <w:rFonts w:hint="eastAsia" w:ascii="Times New Roman" w:hAnsi="Times New Roman" w:eastAsia="仿宋" w:cs="Times New Roman"/>
          <w:bCs/>
          <w:color w:val="auto"/>
          <w:spacing w:val="0"/>
          <w:kern w:val="0"/>
          <w:sz w:val="32"/>
          <w:szCs w:val="32"/>
          <w:highlight w:val="none"/>
          <w:lang w:val="en-US" w:eastAsia="zh-CN" w:bidi="ar"/>
        </w:rPr>
        <w:t xml:space="preserve"> 评价采用量化扣分，代理机构对本机构从业人员的现场履职行为负责，从业人员的扣分同步计入代理机构的评价分值。</w:t>
      </w:r>
    </w:p>
    <w:p w14:paraId="0FB8974D">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代理机构</w:t>
      </w:r>
      <w:r>
        <w:rPr>
          <w:rFonts w:hint="default" w:ascii="Times New Roman" w:hAnsi="Times New Roman" w:eastAsia="仿宋" w:cs="Times New Roman"/>
          <w:bCs/>
          <w:color w:val="auto"/>
          <w:spacing w:val="0"/>
          <w:kern w:val="0"/>
          <w:sz w:val="32"/>
          <w:szCs w:val="32"/>
          <w:highlight w:val="none"/>
          <w:lang w:val="en-US" w:eastAsia="zh-CN" w:bidi="ar"/>
        </w:rPr>
        <w:t>一次违反多项评价标准的，应当同时记录，累计扣分；事后发现应当扣分而未扣分情形的，应当补充记录。同</w:t>
      </w:r>
      <w:r>
        <w:rPr>
          <w:rFonts w:hint="eastAsia" w:ascii="Times New Roman" w:hAnsi="Times New Roman" w:eastAsia="仿宋" w:cs="Times New Roman"/>
          <w:bCs/>
          <w:color w:val="auto"/>
          <w:spacing w:val="0"/>
          <w:kern w:val="0"/>
          <w:sz w:val="32"/>
          <w:szCs w:val="32"/>
          <w:highlight w:val="none"/>
          <w:lang w:val="en-US" w:eastAsia="zh-CN" w:bidi="ar"/>
        </w:rPr>
        <w:t>一代理机构</w:t>
      </w:r>
      <w:r>
        <w:rPr>
          <w:rFonts w:hint="default" w:ascii="Times New Roman" w:hAnsi="Times New Roman" w:eastAsia="仿宋" w:cs="Times New Roman"/>
          <w:bCs/>
          <w:color w:val="auto"/>
          <w:spacing w:val="0"/>
          <w:kern w:val="0"/>
          <w:sz w:val="32"/>
          <w:szCs w:val="32"/>
          <w:highlight w:val="none"/>
          <w:lang w:val="en-US" w:eastAsia="zh-CN" w:bidi="ar"/>
        </w:rPr>
        <w:t>在不同交易中心</w:t>
      </w:r>
      <w:r>
        <w:rPr>
          <w:rFonts w:hint="eastAsia" w:ascii="Times New Roman" w:hAnsi="Times New Roman" w:eastAsia="仿宋" w:cs="Times New Roman"/>
          <w:bCs/>
          <w:color w:val="auto"/>
          <w:spacing w:val="0"/>
          <w:kern w:val="0"/>
          <w:sz w:val="32"/>
          <w:szCs w:val="32"/>
          <w:highlight w:val="none"/>
          <w:lang w:val="en-US" w:eastAsia="zh-CN" w:bidi="ar"/>
        </w:rPr>
        <w:t>进行代理</w:t>
      </w:r>
      <w:r>
        <w:rPr>
          <w:rFonts w:hint="default" w:ascii="Times New Roman" w:hAnsi="Times New Roman" w:eastAsia="仿宋" w:cs="Times New Roman"/>
          <w:bCs/>
          <w:color w:val="auto"/>
          <w:spacing w:val="0"/>
          <w:kern w:val="0"/>
          <w:sz w:val="32"/>
          <w:szCs w:val="32"/>
          <w:highlight w:val="none"/>
          <w:lang w:val="en-US" w:eastAsia="zh-CN" w:bidi="ar"/>
        </w:rPr>
        <w:t>活动存在被扣分情形的，经各交易中心评价完成后，由自治区交易中心统一归集汇总。</w:t>
      </w:r>
    </w:p>
    <w:p w14:paraId="004303C6">
      <w:pPr>
        <w:pStyle w:val="7"/>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仿宋" w:hAnsi="仿宋" w:eastAsia="仿宋" w:cs="仿宋"/>
          <w:b/>
          <w:bCs w:val="0"/>
          <w:color w:val="auto"/>
          <w:spacing w:val="0"/>
          <w:kern w:val="0"/>
          <w:sz w:val="32"/>
          <w:szCs w:val="32"/>
          <w:highlight w:val="none"/>
          <w:lang w:val="en-US" w:eastAsia="zh-CN" w:bidi="ar"/>
        </w:rPr>
        <w:t>第十六条</w:t>
      </w:r>
      <w:r>
        <w:rPr>
          <w:rFonts w:hint="eastAsia" w:ascii="Times New Roman" w:hAnsi="Times New Roman" w:eastAsia="仿宋" w:cs="Times New Roman"/>
          <w:bCs/>
          <w:color w:val="auto"/>
          <w:spacing w:val="0"/>
          <w:kern w:val="0"/>
          <w:sz w:val="32"/>
          <w:szCs w:val="32"/>
          <w:highlight w:val="none"/>
          <w:lang w:val="en-US" w:eastAsia="zh-CN" w:bidi="ar"/>
        </w:rPr>
        <w:t xml:space="preserve"> 代理机构及从业人员在交易活动过程中发生异常行为的，交易中心应根据实际情况客观公正填写《评价记录表》。具备电子化考核条件的，应当通过电子评价系统直接记录评价信息，同步推送行政监督管理</w:t>
      </w:r>
      <w:r>
        <w:rPr>
          <w:rFonts w:hint="default" w:ascii="Times New Roman" w:hAnsi="Times New Roman" w:eastAsia="仿宋" w:cs="Times New Roman"/>
          <w:bCs/>
          <w:color w:val="auto"/>
          <w:spacing w:val="0"/>
          <w:kern w:val="0"/>
          <w:sz w:val="32"/>
          <w:szCs w:val="32"/>
          <w:highlight w:val="none"/>
          <w:lang w:val="en-US" w:eastAsia="zh-CN" w:bidi="ar"/>
        </w:rPr>
        <w:t>部门和</w:t>
      </w:r>
      <w:r>
        <w:rPr>
          <w:rFonts w:hint="eastAsia" w:ascii="Times New Roman" w:hAnsi="Times New Roman" w:eastAsia="仿宋" w:cs="Times New Roman"/>
          <w:bCs/>
          <w:color w:val="auto"/>
          <w:spacing w:val="0"/>
          <w:kern w:val="0"/>
          <w:sz w:val="32"/>
          <w:szCs w:val="32"/>
          <w:highlight w:val="none"/>
          <w:lang w:val="en-US" w:eastAsia="zh-CN" w:bidi="ar"/>
        </w:rPr>
        <w:t>项目发起方。</w:t>
      </w:r>
    </w:p>
    <w:p w14:paraId="498BAEC2">
      <w:pPr>
        <w:pStyle w:val="7"/>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交易中心在组织对代理机构及从业人员履职情况进行评价时，应做好现场视频监控、录音留存等证据固定、保存相关工作。</w:t>
      </w:r>
    </w:p>
    <w:p w14:paraId="2717CF3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default" w:ascii="仿宋" w:hAnsi="仿宋" w:eastAsia="仿宋" w:cs="仿宋"/>
          <w:b/>
          <w:bCs w:val="0"/>
          <w:color w:val="auto"/>
          <w:spacing w:val="0"/>
          <w:kern w:val="0"/>
          <w:sz w:val="32"/>
          <w:szCs w:val="32"/>
          <w:highlight w:val="none"/>
          <w:lang w:val="en-US" w:eastAsia="zh-CN" w:bidi="ar"/>
        </w:rPr>
        <w:t>第</w:t>
      </w:r>
      <w:r>
        <w:rPr>
          <w:rFonts w:hint="eastAsia" w:ascii="仿宋" w:hAnsi="仿宋" w:eastAsia="仿宋" w:cs="仿宋"/>
          <w:b/>
          <w:bCs w:val="0"/>
          <w:color w:val="auto"/>
          <w:spacing w:val="0"/>
          <w:kern w:val="0"/>
          <w:sz w:val="32"/>
          <w:szCs w:val="32"/>
          <w:highlight w:val="none"/>
          <w:lang w:val="en-US" w:eastAsia="zh-CN" w:bidi="ar"/>
        </w:rPr>
        <w:t>十七</w:t>
      </w:r>
      <w:r>
        <w:rPr>
          <w:rFonts w:hint="default" w:ascii="仿宋" w:hAnsi="仿宋" w:eastAsia="仿宋" w:cs="仿宋"/>
          <w:b/>
          <w:bCs w:val="0"/>
          <w:color w:val="auto"/>
          <w:spacing w:val="0"/>
          <w:kern w:val="0"/>
          <w:sz w:val="32"/>
          <w:szCs w:val="32"/>
          <w:highlight w:val="none"/>
          <w:lang w:val="en-US" w:eastAsia="zh-CN" w:bidi="ar"/>
        </w:rPr>
        <w:t>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eastAsia" w:ascii="Times New Roman" w:hAnsi="Times New Roman" w:eastAsia="仿宋" w:cs="Times New Roman"/>
          <w:bCs/>
          <w:color w:val="auto"/>
          <w:spacing w:val="0"/>
          <w:kern w:val="0"/>
          <w:sz w:val="32"/>
          <w:szCs w:val="32"/>
          <w:highlight w:val="none"/>
          <w:lang w:val="en-US" w:eastAsia="zh-CN" w:bidi="ar"/>
        </w:rPr>
        <w:t>代理机构有下列情形之一的，交易中心在开展评价的同时，应及时报送相关行政监督管理部门依法处理。在行政监督管理部门作出处理前，交易中心应暂停代理机构预约交易场地业务。</w:t>
      </w:r>
    </w:p>
    <w:p w14:paraId="5B6B80DE">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（一）在签收、开标、评标、封存等环节发现偷换投标评标等交易文件的；</w:t>
      </w:r>
    </w:p>
    <w:p w14:paraId="0445F98B">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（二）泄露应当保密的与招标投标活动有关的情况和资料；</w:t>
      </w:r>
    </w:p>
    <w:p w14:paraId="2751B193">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（三）通过向项目发起方有关工作人员行贿、提供回扣或者给予其他不正当利益等手段承接招标代理业务；</w:t>
      </w:r>
    </w:p>
    <w:p w14:paraId="72E9C71E">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（四）与项目发起方有关工作人员串通，规避招标，设置不合理条件限制、排斥潜在项目响应方或者项目响应方；</w:t>
      </w:r>
    </w:p>
    <w:p w14:paraId="6FC675CB">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（五）在所代理的招标项目中投标、代理投标；</w:t>
      </w:r>
    </w:p>
    <w:p w14:paraId="61D8FD8D">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（六）为特定项目响应方或特定潜在项目响应方谋取中标创造条件或提供方便；</w:t>
      </w:r>
    </w:p>
    <w:p w14:paraId="7467551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（七）向评标专家行贿；</w:t>
      </w:r>
    </w:p>
    <w:p w14:paraId="304BA3D3">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（八）引导评标专家作出倾向或者排斥特定项目响应方的评标意见；</w:t>
      </w:r>
    </w:p>
    <w:p w14:paraId="6D13FF19">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（九）发表带倾向性的言论干扰评标评审委员会正常评标评审工作；</w:t>
      </w:r>
    </w:p>
    <w:p w14:paraId="2EF24CE7">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（十）代替评委评分的；</w:t>
      </w:r>
    </w:p>
    <w:p w14:paraId="6479E7B7">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（十一）在投标截止时间之后接收投标（响应）文件，或</w:t>
      </w:r>
      <w:r>
        <w:rPr>
          <w:rFonts w:hint="default" w:ascii="Times New Roman" w:hAnsi="Times New Roman" w:eastAsia="仿宋" w:cs="Times New Roman"/>
          <w:bCs/>
          <w:color w:val="auto"/>
          <w:spacing w:val="0"/>
          <w:kern w:val="0"/>
          <w:sz w:val="32"/>
          <w:szCs w:val="32"/>
          <w:highlight w:val="none"/>
          <w:lang w:val="en-US" w:eastAsia="zh-CN" w:bidi="ar"/>
        </w:rPr>
        <w:t>违规拒收应当接收的投标文件的</w:t>
      </w:r>
      <w:r>
        <w:rPr>
          <w:rFonts w:hint="eastAsia" w:ascii="Times New Roman" w:hAnsi="Times New Roman" w:eastAsia="仿宋" w:cs="Times New Roman"/>
          <w:bCs/>
          <w:color w:val="auto"/>
          <w:spacing w:val="0"/>
          <w:kern w:val="0"/>
          <w:sz w:val="32"/>
          <w:szCs w:val="32"/>
          <w:highlight w:val="none"/>
          <w:lang w:val="en-US" w:eastAsia="zh-CN" w:bidi="ar"/>
        </w:rPr>
        <w:t>；</w:t>
      </w:r>
    </w:p>
    <w:p w14:paraId="0FFF294C">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（十二）其他串通损害国家利益、社会公共利益或者他人合法权益的活动。</w:t>
      </w:r>
    </w:p>
    <w:p w14:paraId="57499371">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仿宋" w:hAnsi="仿宋" w:eastAsia="仿宋" w:cs="仿宋"/>
          <w:b/>
          <w:bCs w:val="0"/>
          <w:color w:val="auto"/>
          <w:spacing w:val="0"/>
          <w:kern w:val="0"/>
          <w:sz w:val="32"/>
          <w:szCs w:val="32"/>
          <w:highlight w:val="none"/>
          <w:lang w:bidi="ar"/>
        </w:rPr>
        <w:t>第</w:t>
      </w:r>
      <w:r>
        <w:rPr>
          <w:rFonts w:hint="eastAsia" w:ascii="仿宋" w:hAnsi="仿宋" w:eastAsia="仿宋" w:cs="仿宋"/>
          <w:b/>
          <w:bCs w:val="0"/>
          <w:color w:val="auto"/>
          <w:spacing w:val="0"/>
          <w:kern w:val="0"/>
          <w:sz w:val="32"/>
          <w:szCs w:val="32"/>
          <w:highlight w:val="none"/>
          <w:lang w:val="en-US" w:eastAsia="zh-CN" w:bidi="ar"/>
        </w:rPr>
        <w:t>十八</w:t>
      </w:r>
      <w:r>
        <w:rPr>
          <w:rFonts w:hint="default" w:ascii="仿宋" w:hAnsi="仿宋" w:eastAsia="仿宋" w:cs="仿宋"/>
          <w:b/>
          <w:bCs w:val="0"/>
          <w:color w:val="auto"/>
          <w:spacing w:val="0"/>
          <w:kern w:val="0"/>
          <w:sz w:val="32"/>
          <w:szCs w:val="32"/>
          <w:highlight w:val="none"/>
          <w:lang w:bidi="ar"/>
        </w:rPr>
        <w:t>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highlight w:val="none"/>
          <w:lang w:val="en-US" w:eastAsia="zh-CN" w:bidi="ar"/>
        </w:rPr>
        <w:t>年度评价实行</w:t>
      </w:r>
      <w:r>
        <w:rPr>
          <w:rFonts w:hint="eastAsia" w:ascii="Times New Roman" w:hAnsi="Times New Roman" w:eastAsia="仿宋" w:cs="Times New Roman"/>
          <w:bCs/>
          <w:color w:val="auto"/>
          <w:spacing w:val="0"/>
          <w:kern w:val="0"/>
          <w:sz w:val="32"/>
          <w:szCs w:val="32"/>
          <w:highlight w:val="none"/>
          <w:lang w:val="en-US" w:eastAsia="zh-CN" w:bidi="ar"/>
        </w:rPr>
        <w:t>扣分</w:t>
      </w:r>
      <w:r>
        <w:rPr>
          <w:rFonts w:hint="default" w:ascii="Times New Roman" w:hAnsi="Times New Roman" w:eastAsia="仿宋" w:cs="Times New Roman"/>
          <w:bCs/>
          <w:color w:val="auto"/>
          <w:spacing w:val="0"/>
          <w:kern w:val="0"/>
          <w:sz w:val="32"/>
          <w:szCs w:val="32"/>
          <w:highlight w:val="none"/>
          <w:lang w:val="en-US" w:eastAsia="zh-CN" w:bidi="ar"/>
        </w:rPr>
        <w:t>积分制。累计扣分达到30分时，交易中心应暂停代理机构预约交易场地1个月；累计扣分达到50分时，交易中心应暂停代理机构预约交易场地3个月。</w:t>
      </w:r>
    </w:p>
    <w:p w14:paraId="23A38C90">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年度</w:t>
      </w:r>
      <w:r>
        <w:rPr>
          <w:rFonts w:hint="eastAsia" w:ascii="Times New Roman" w:hAnsi="Times New Roman" w:eastAsia="仿宋" w:cs="Times New Roman"/>
          <w:bCs/>
          <w:color w:val="auto"/>
          <w:spacing w:val="0"/>
          <w:kern w:val="0"/>
          <w:sz w:val="32"/>
          <w:szCs w:val="32"/>
          <w:highlight w:val="none"/>
          <w:lang w:val="en-US" w:eastAsia="zh-CN" w:bidi="ar"/>
        </w:rPr>
        <w:t>评价</w:t>
      </w:r>
      <w:r>
        <w:rPr>
          <w:rFonts w:hint="default" w:ascii="Times New Roman" w:hAnsi="Times New Roman" w:eastAsia="仿宋" w:cs="Times New Roman"/>
          <w:bCs/>
          <w:color w:val="auto"/>
          <w:spacing w:val="0"/>
          <w:kern w:val="0"/>
          <w:sz w:val="32"/>
          <w:szCs w:val="32"/>
          <w:highlight w:val="none"/>
          <w:lang w:val="en-US" w:eastAsia="zh-CN" w:bidi="ar"/>
        </w:rPr>
        <w:t>结果供</w:t>
      </w:r>
      <w:r>
        <w:rPr>
          <w:rFonts w:hint="eastAsia" w:ascii="Times New Roman" w:hAnsi="Times New Roman" w:eastAsia="仿宋" w:cs="Times New Roman"/>
          <w:bCs/>
          <w:color w:val="auto"/>
          <w:spacing w:val="0"/>
          <w:kern w:val="0"/>
          <w:sz w:val="32"/>
          <w:szCs w:val="32"/>
          <w:highlight w:val="none"/>
          <w:lang w:val="en-US" w:eastAsia="zh-CN" w:bidi="ar"/>
        </w:rPr>
        <w:t>项目发起方</w:t>
      </w:r>
      <w:r>
        <w:rPr>
          <w:rFonts w:hint="default" w:ascii="Times New Roman" w:hAnsi="Times New Roman" w:eastAsia="仿宋" w:cs="Times New Roman"/>
          <w:bCs/>
          <w:color w:val="auto"/>
          <w:spacing w:val="0"/>
          <w:kern w:val="0"/>
          <w:sz w:val="32"/>
          <w:szCs w:val="32"/>
          <w:highlight w:val="none"/>
          <w:lang w:val="en-US" w:eastAsia="zh-CN" w:bidi="ar"/>
        </w:rPr>
        <w:t>在选取代理机构时参考运用，并作为有关行政监督</w:t>
      </w:r>
      <w:r>
        <w:rPr>
          <w:rFonts w:hint="eastAsia" w:ascii="Times New Roman" w:hAnsi="Times New Roman" w:eastAsia="仿宋" w:cs="Times New Roman"/>
          <w:bCs/>
          <w:color w:val="auto"/>
          <w:spacing w:val="0"/>
          <w:kern w:val="0"/>
          <w:sz w:val="32"/>
          <w:szCs w:val="32"/>
          <w:highlight w:val="none"/>
          <w:lang w:val="en-US" w:eastAsia="zh-CN" w:bidi="ar"/>
        </w:rPr>
        <w:t>管理</w:t>
      </w:r>
      <w:r>
        <w:rPr>
          <w:rFonts w:hint="default" w:ascii="Times New Roman" w:hAnsi="Times New Roman" w:eastAsia="仿宋" w:cs="Times New Roman"/>
          <w:bCs/>
          <w:color w:val="auto"/>
          <w:spacing w:val="0"/>
          <w:kern w:val="0"/>
          <w:sz w:val="32"/>
          <w:szCs w:val="32"/>
          <w:highlight w:val="none"/>
          <w:lang w:val="en-US" w:eastAsia="zh-CN" w:bidi="ar"/>
        </w:rPr>
        <w:t>部门</w:t>
      </w:r>
      <w:r>
        <w:rPr>
          <w:rFonts w:hint="eastAsia" w:ascii="Times New Roman" w:hAnsi="Times New Roman" w:eastAsia="仿宋" w:cs="Times New Roman"/>
          <w:bCs/>
          <w:color w:val="auto"/>
          <w:spacing w:val="0"/>
          <w:kern w:val="0"/>
          <w:sz w:val="32"/>
          <w:szCs w:val="32"/>
          <w:highlight w:val="none"/>
          <w:lang w:val="en-US" w:eastAsia="zh-CN" w:bidi="ar"/>
        </w:rPr>
        <w:t>对代理机构</w:t>
      </w:r>
      <w:r>
        <w:rPr>
          <w:rFonts w:hint="default" w:ascii="Times New Roman" w:hAnsi="Times New Roman" w:eastAsia="仿宋" w:cs="Times New Roman"/>
          <w:bCs/>
          <w:color w:val="auto"/>
          <w:spacing w:val="0"/>
          <w:kern w:val="0"/>
          <w:sz w:val="32"/>
          <w:szCs w:val="32"/>
          <w:highlight w:val="none"/>
          <w:lang w:val="en-US" w:eastAsia="zh-CN" w:bidi="ar"/>
        </w:rPr>
        <w:t>进行</w:t>
      </w:r>
      <w:r>
        <w:rPr>
          <w:rFonts w:hint="eastAsia" w:ascii="Times New Roman" w:hAnsi="Times New Roman" w:eastAsia="仿宋" w:cs="Times New Roman"/>
          <w:bCs/>
          <w:color w:val="auto"/>
          <w:spacing w:val="0"/>
          <w:kern w:val="0"/>
          <w:sz w:val="32"/>
          <w:szCs w:val="32"/>
          <w:highlight w:val="none"/>
          <w:lang w:val="en-US" w:eastAsia="zh-CN" w:bidi="ar"/>
        </w:rPr>
        <w:t>监督管理</w:t>
      </w:r>
      <w:r>
        <w:rPr>
          <w:rFonts w:hint="default" w:ascii="Times New Roman" w:hAnsi="Times New Roman" w:eastAsia="仿宋" w:cs="Times New Roman"/>
          <w:bCs/>
          <w:color w:val="auto"/>
          <w:spacing w:val="0"/>
          <w:kern w:val="0"/>
          <w:sz w:val="32"/>
          <w:szCs w:val="32"/>
          <w:highlight w:val="none"/>
          <w:lang w:val="en-US" w:eastAsia="zh-CN" w:bidi="ar"/>
        </w:rPr>
        <w:t>的依据。</w:t>
      </w:r>
    </w:p>
    <w:p w14:paraId="1D0F0CDB">
      <w:pPr>
        <w:pStyle w:val="7"/>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仿宋" w:cs="Times New Roman"/>
          <w:bCs/>
          <w:color w:val="auto"/>
          <w:spacing w:val="0"/>
          <w:kern w:val="0"/>
          <w:sz w:val="32"/>
          <w:szCs w:val="32"/>
          <w:highlight w:val="none"/>
          <w:u w:val="single"/>
          <w:lang w:val="en-US" w:eastAsia="zh-CN" w:bidi="ar"/>
        </w:rPr>
      </w:pPr>
      <w:r>
        <w:rPr>
          <w:rFonts w:hint="eastAsia" w:ascii="仿宋" w:hAnsi="仿宋" w:eastAsia="仿宋" w:cs="仿宋"/>
          <w:b/>
          <w:bCs w:val="0"/>
          <w:color w:val="auto"/>
          <w:spacing w:val="0"/>
          <w:kern w:val="0"/>
          <w:sz w:val="32"/>
          <w:szCs w:val="32"/>
          <w:highlight w:val="none"/>
          <w:lang w:val="en-US" w:eastAsia="zh-CN" w:bidi="ar"/>
        </w:rPr>
        <w:t>第二十条</w:t>
      </w:r>
      <w:r>
        <w:rPr>
          <w:rFonts w:hint="eastAsia" w:ascii="Times New Roman" w:hAnsi="Times New Roman" w:eastAsia="仿宋" w:cs="Times New Roman"/>
          <w:bCs/>
          <w:color w:val="auto"/>
          <w:spacing w:val="0"/>
          <w:kern w:val="0"/>
          <w:sz w:val="32"/>
          <w:szCs w:val="32"/>
          <w:highlight w:val="none"/>
          <w:lang w:val="en-US" w:eastAsia="zh-CN" w:bidi="ar"/>
        </w:rPr>
        <w:t xml:space="preserve"> 评价</w:t>
      </w:r>
      <w:r>
        <w:rPr>
          <w:rFonts w:hint="default" w:ascii="Times New Roman" w:hAnsi="Times New Roman" w:eastAsia="仿宋" w:cs="Times New Roman"/>
          <w:bCs/>
          <w:color w:val="auto"/>
          <w:spacing w:val="0"/>
          <w:kern w:val="0"/>
          <w:sz w:val="32"/>
          <w:szCs w:val="32"/>
          <w:highlight w:val="none"/>
          <w:lang w:val="en-US" w:eastAsia="zh-CN" w:bidi="ar"/>
        </w:rPr>
        <w:t>情况由各地（州、市）交易中心按月向自治区交易中心报送</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自治区交易中心每月10日前对自治区本级和各地州评价情况进行汇总，在自治区公共资源交易网进行公示</w:t>
      </w:r>
      <w:r>
        <w:rPr>
          <w:rFonts w:hint="eastAsia" w:ascii="Times New Roman" w:hAnsi="Times New Roman" w:eastAsia="仿宋" w:cs="Times New Roman"/>
          <w:bCs/>
          <w:color w:val="auto"/>
          <w:spacing w:val="0"/>
          <w:kern w:val="0"/>
          <w:sz w:val="32"/>
          <w:szCs w:val="32"/>
          <w:highlight w:val="none"/>
          <w:lang w:val="en-US" w:eastAsia="zh-CN" w:bidi="ar"/>
        </w:rPr>
        <w:t>。</w:t>
      </w:r>
    </w:p>
    <w:p w14:paraId="4BAA1A56">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Cs/>
          <w:color w:val="auto"/>
          <w:spacing w:val="0"/>
          <w:kern w:val="0"/>
          <w:sz w:val="32"/>
          <w:szCs w:val="32"/>
          <w:highlight w:val="none"/>
          <w:lang w:val="en-US" w:eastAsia="zh-CN" w:bidi="ar"/>
        </w:rPr>
        <w:t>自治区</w:t>
      </w:r>
      <w:r>
        <w:rPr>
          <w:rFonts w:hint="eastAsia" w:ascii="Times New Roman" w:hAnsi="Times New Roman" w:eastAsia="仿宋" w:cs="Times New Roman"/>
          <w:bCs/>
          <w:color w:val="auto"/>
          <w:spacing w:val="0"/>
          <w:kern w:val="0"/>
          <w:sz w:val="32"/>
          <w:szCs w:val="32"/>
          <w:highlight w:val="none"/>
          <w:lang w:val="en-US" w:eastAsia="zh-CN" w:bidi="ar"/>
        </w:rPr>
        <w:t>交易中心</w:t>
      </w:r>
      <w:r>
        <w:rPr>
          <w:rFonts w:hint="default" w:ascii="Times New Roman" w:hAnsi="Times New Roman" w:eastAsia="仿宋" w:cs="Times New Roman"/>
          <w:bCs/>
          <w:color w:val="auto"/>
          <w:spacing w:val="0"/>
          <w:kern w:val="0"/>
          <w:sz w:val="32"/>
          <w:szCs w:val="32"/>
          <w:highlight w:val="none"/>
          <w:lang w:val="en-US" w:eastAsia="zh-CN" w:bidi="ar"/>
        </w:rPr>
        <w:t>于每年3月底前</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将上年度代理机构场内评价结果，在自治区公共资源交易网等媒体向社会</w:t>
      </w:r>
      <w:r>
        <w:rPr>
          <w:rFonts w:hint="eastAsia" w:ascii="Times New Roman" w:hAnsi="Times New Roman" w:eastAsia="仿宋" w:cs="Times New Roman"/>
          <w:bCs/>
          <w:color w:val="auto"/>
          <w:spacing w:val="0"/>
          <w:kern w:val="0"/>
          <w:sz w:val="32"/>
          <w:szCs w:val="32"/>
          <w:highlight w:val="none"/>
          <w:lang w:val="en-US" w:eastAsia="zh-CN" w:bidi="ar"/>
        </w:rPr>
        <w:t>预</w:t>
      </w:r>
      <w:r>
        <w:rPr>
          <w:rFonts w:hint="default" w:ascii="Times New Roman" w:hAnsi="Times New Roman" w:eastAsia="仿宋" w:cs="Times New Roman"/>
          <w:bCs/>
          <w:color w:val="auto"/>
          <w:spacing w:val="0"/>
          <w:kern w:val="0"/>
          <w:sz w:val="32"/>
          <w:szCs w:val="32"/>
          <w:highlight w:val="none"/>
          <w:lang w:val="en-US" w:eastAsia="zh-CN" w:bidi="ar"/>
        </w:rPr>
        <w:t>公示7天</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公示无异议后在自治区公共资源交易网等媒体公告</w:t>
      </w:r>
      <w:r>
        <w:rPr>
          <w:rFonts w:hint="eastAsia" w:ascii="Times New Roman" w:hAnsi="Times New Roman" w:eastAsia="仿宋" w:cs="Times New Roman"/>
          <w:bCs/>
          <w:color w:val="auto"/>
          <w:spacing w:val="0"/>
          <w:kern w:val="0"/>
          <w:sz w:val="32"/>
          <w:szCs w:val="32"/>
          <w:highlight w:val="none"/>
          <w:lang w:val="en-US" w:eastAsia="zh-CN" w:bidi="ar"/>
        </w:rPr>
        <w:t>。</w:t>
      </w:r>
    </w:p>
    <w:p w14:paraId="74F88C56">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eastAsia" w:ascii="Times New Roman" w:hAnsi="Times New Roman" w:eastAsia="仿宋" w:cs="Times New Roman"/>
          <w:bCs/>
          <w:color w:val="auto"/>
          <w:spacing w:val="0"/>
          <w:kern w:val="0"/>
          <w:sz w:val="32"/>
          <w:szCs w:val="32"/>
          <w:highlight w:val="none"/>
          <w:lang w:val="en-US" w:eastAsia="zh-CN" w:bidi="ar"/>
        </w:rPr>
        <w:t>评价公示信息应</w:t>
      </w:r>
      <w:r>
        <w:rPr>
          <w:rFonts w:hint="default" w:ascii="Times New Roman" w:hAnsi="Times New Roman" w:eastAsia="仿宋" w:cs="Times New Roman"/>
          <w:bCs/>
          <w:color w:val="auto"/>
          <w:spacing w:val="0"/>
          <w:kern w:val="0"/>
          <w:sz w:val="32"/>
          <w:szCs w:val="32"/>
          <w:highlight w:val="none"/>
          <w:lang w:val="en-US" w:eastAsia="zh-CN" w:bidi="ar"/>
        </w:rPr>
        <w:t>同步至有关行政监督管理部门。</w:t>
      </w:r>
    </w:p>
    <w:p w14:paraId="0DE96D3A">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bCs/>
          <w:color w:val="auto"/>
          <w:spacing w:val="0"/>
          <w:kern w:val="0"/>
          <w:sz w:val="32"/>
          <w:szCs w:val="32"/>
          <w:highlight w:val="none"/>
          <w:lang w:val="en-US" w:eastAsia="zh-CN" w:bidi="ar"/>
        </w:rPr>
      </w:pPr>
      <w:r>
        <w:rPr>
          <w:rFonts w:hint="default" w:ascii="Times New Roman" w:hAnsi="Times New Roman" w:eastAsia="仿宋" w:cs="Times New Roman"/>
          <w:b/>
          <w:bCs w:val="0"/>
          <w:color w:val="auto"/>
          <w:spacing w:val="0"/>
          <w:kern w:val="0"/>
          <w:sz w:val="32"/>
          <w:szCs w:val="32"/>
          <w:highlight w:val="none"/>
          <w:lang w:val="en-US" w:eastAsia="zh-CN" w:bidi="ar"/>
        </w:rPr>
        <w:t>第二十一条</w:t>
      </w:r>
      <w:r>
        <w:rPr>
          <w:rFonts w:hint="default" w:ascii="Times New Roman" w:hAnsi="Times New Roman" w:eastAsia="仿宋" w:cs="Times New Roman"/>
          <w:bCs/>
          <w:color w:val="auto"/>
          <w:spacing w:val="0"/>
          <w:kern w:val="0"/>
          <w:sz w:val="32"/>
          <w:szCs w:val="32"/>
          <w:highlight w:val="none"/>
          <w:lang w:val="en-US" w:eastAsia="zh-CN" w:bidi="ar"/>
        </w:rPr>
        <w:t xml:space="preserve"> 代理机构如对评</w:t>
      </w:r>
      <w:r>
        <w:rPr>
          <w:rFonts w:hint="eastAsia" w:ascii="Times New Roman" w:hAnsi="Times New Roman" w:eastAsia="仿宋" w:cs="Times New Roman"/>
          <w:bCs/>
          <w:color w:val="auto"/>
          <w:spacing w:val="0"/>
          <w:kern w:val="0"/>
          <w:sz w:val="32"/>
          <w:szCs w:val="32"/>
          <w:highlight w:val="none"/>
          <w:lang w:val="en-US" w:eastAsia="zh-CN" w:bidi="ar"/>
        </w:rPr>
        <w:t>价</w:t>
      </w:r>
      <w:r>
        <w:rPr>
          <w:rFonts w:hint="default" w:ascii="Times New Roman" w:hAnsi="Times New Roman" w:eastAsia="仿宋" w:cs="Times New Roman"/>
          <w:bCs/>
          <w:color w:val="auto"/>
          <w:spacing w:val="0"/>
          <w:kern w:val="0"/>
          <w:sz w:val="32"/>
          <w:szCs w:val="32"/>
          <w:highlight w:val="none"/>
          <w:lang w:val="en-US" w:eastAsia="zh-CN" w:bidi="ar"/>
        </w:rPr>
        <w:t>结果有异议的，应在</w:t>
      </w:r>
      <w:r>
        <w:rPr>
          <w:rFonts w:hint="eastAsia" w:ascii="Times New Roman" w:hAnsi="Times New Roman" w:eastAsia="仿宋" w:cs="Times New Roman"/>
          <w:bCs/>
          <w:color w:val="auto"/>
          <w:spacing w:val="0"/>
          <w:kern w:val="0"/>
          <w:sz w:val="32"/>
          <w:szCs w:val="32"/>
          <w:highlight w:val="none"/>
          <w:lang w:val="en-US" w:eastAsia="zh-CN" w:bidi="ar"/>
        </w:rPr>
        <w:t>知道或者应当知道其权益受到损害之日起5</w:t>
      </w:r>
      <w:r>
        <w:rPr>
          <w:rFonts w:hint="default" w:ascii="Times New Roman" w:hAnsi="Times New Roman" w:eastAsia="仿宋" w:cs="Times New Roman"/>
          <w:bCs/>
          <w:color w:val="auto"/>
          <w:spacing w:val="0"/>
          <w:kern w:val="0"/>
          <w:sz w:val="32"/>
          <w:szCs w:val="32"/>
          <w:highlight w:val="none"/>
          <w:lang w:val="en-US" w:eastAsia="zh-CN" w:bidi="ar"/>
        </w:rPr>
        <w:t>个工作日内</w:t>
      </w:r>
      <w:r>
        <w:rPr>
          <w:rFonts w:hint="eastAsia" w:ascii="Times New Roman" w:hAnsi="Times New Roman" w:eastAsia="仿宋" w:cs="Times New Roman"/>
          <w:bCs/>
          <w:color w:val="auto"/>
          <w:spacing w:val="0"/>
          <w:kern w:val="0"/>
          <w:sz w:val="32"/>
          <w:szCs w:val="32"/>
          <w:highlight w:val="none"/>
          <w:lang w:val="en-US" w:eastAsia="zh-CN" w:bidi="ar"/>
        </w:rPr>
        <w:t>，</w:t>
      </w:r>
      <w:r>
        <w:rPr>
          <w:rFonts w:hint="default" w:ascii="Times New Roman" w:hAnsi="Times New Roman" w:eastAsia="仿宋" w:cs="Times New Roman"/>
          <w:bCs/>
          <w:color w:val="auto"/>
          <w:spacing w:val="0"/>
          <w:kern w:val="0"/>
          <w:sz w:val="32"/>
          <w:szCs w:val="32"/>
          <w:highlight w:val="none"/>
          <w:lang w:val="en-US" w:eastAsia="zh-CN" w:bidi="ar"/>
        </w:rPr>
        <w:t>以书面形式向</w:t>
      </w:r>
      <w:r>
        <w:rPr>
          <w:rFonts w:hint="eastAsia" w:ascii="Times New Roman" w:hAnsi="Times New Roman" w:eastAsia="仿宋" w:cs="Times New Roman"/>
          <w:bCs/>
          <w:color w:val="auto"/>
          <w:spacing w:val="0"/>
          <w:kern w:val="0"/>
          <w:sz w:val="32"/>
          <w:szCs w:val="32"/>
          <w:highlight w:val="none"/>
          <w:lang w:val="en-US" w:eastAsia="zh-CN" w:bidi="ar"/>
        </w:rPr>
        <w:t>作出评价结果所在交易中心提出</w:t>
      </w:r>
      <w:r>
        <w:rPr>
          <w:rFonts w:hint="default" w:ascii="Times New Roman" w:hAnsi="Times New Roman" w:eastAsia="仿宋" w:cs="Times New Roman"/>
          <w:bCs/>
          <w:color w:val="auto"/>
          <w:spacing w:val="0"/>
          <w:kern w:val="0"/>
          <w:sz w:val="32"/>
          <w:szCs w:val="32"/>
          <w:highlight w:val="none"/>
          <w:lang w:val="en-US" w:eastAsia="zh-CN" w:bidi="ar"/>
        </w:rPr>
        <w:t>，</w:t>
      </w:r>
      <w:r>
        <w:rPr>
          <w:rFonts w:hint="eastAsia" w:ascii="Times New Roman" w:hAnsi="Times New Roman" w:eastAsia="仿宋" w:cs="Times New Roman"/>
          <w:bCs/>
          <w:color w:val="auto"/>
          <w:spacing w:val="0"/>
          <w:kern w:val="0"/>
          <w:sz w:val="32"/>
          <w:szCs w:val="32"/>
          <w:highlight w:val="none"/>
          <w:lang w:val="en-US" w:eastAsia="zh-CN" w:bidi="ar"/>
        </w:rPr>
        <w:t>交易中心</w:t>
      </w:r>
      <w:r>
        <w:rPr>
          <w:rFonts w:hint="default" w:ascii="Times New Roman" w:hAnsi="Times New Roman" w:eastAsia="仿宋" w:cs="Times New Roman"/>
          <w:bCs/>
          <w:color w:val="auto"/>
          <w:spacing w:val="0"/>
          <w:kern w:val="0"/>
          <w:sz w:val="32"/>
          <w:szCs w:val="32"/>
          <w:highlight w:val="none"/>
          <w:lang w:val="en-US" w:eastAsia="zh-CN" w:bidi="ar"/>
        </w:rPr>
        <w:t>需在</w:t>
      </w:r>
      <w:r>
        <w:rPr>
          <w:rFonts w:hint="eastAsia" w:ascii="Times New Roman" w:hAnsi="Times New Roman" w:eastAsia="仿宋" w:cs="Times New Roman"/>
          <w:bCs/>
          <w:color w:val="auto"/>
          <w:spacing w:val="0"/>
          <w:kern w:val="0"/>
          <w:sz w:val="32"/>
          <w:szCs w:val="32"/>
          <w:highlight w:val="none"/>
          <w:lang w:val="en-US" w:eastAsia="zh-CN" w:bidi="ar"/>
        </w:rPr>
        <w:t>收到异议函10</w:t>
      </w:r>
      <w:r>
        <w:rPr>
          <w:rFonts w:hint="default" w:ascii="Times New Roman" w:hAnsi="Times New Roman" w:eastAsia="仿宋" w:cs="Times New Roman"/>
          <w:bCs/>
          <w:color w:val="auto"/>
          <w:spacing w:val="0"/>
          <w:kern w:val="0"/>
          <w:sz w:val="32"/>
          <w:szCs w:val="32"/>
          <w:highlight w:val="none"/>
          <w:lang w:val="en-US" w:eastAsia="zh-CN" w:bidi="ar"/>
        </w:rPr>
        <w:t>个工作日内</w:t>
      </w:r>
      <w:r>
        <w:rPr>
          <w:rFonts w:hint="eastAsia" w:ascii="Times New Roman" w:hAnsi="Times New Roman" w:eastAsia="仿宋" w:cs="Times New Roman"/>
          <w:bCs/>
          <w:color w:val="auto"/>
          <w:spacing w:val="0"/>
          <w:kern w:val="0"/>
          <w:sz w:val="32"/>
          <w:szCs w:val="32"/>
          <w:highlight w:val="none"/>
          <w:lang w:val="en-US" w:eastAsia="zh-CN" w:bidi="ar"/>
        </w:rPr>
        <w:t>组织核实并</w:t>
      </w:r>
      <w:r>
        <w:rPr>
          <w:rFonts w:hint="default" w:ascii="Times New Roman" w:hAnsi="Times New Roman" w:eastAsia="仿宋" w:cs="Times New Roman"/>
          <w:bCs/>
          <w:color w:val="auto"/>
          <w:spacing w:val="0"/>
          <w:kern w:val="0"/>
          <w:sz w:val="32"/>
          <w:szCs w:val="32"/>
          <w:highlight w:val="none"/>
          <w:lang w:val="en-US" w:eastAsia="zh-CN" w:bidi="ar"/>
        </w:rPr>
        <w:t>作出答复。经查实属于</w:t>
      </w:r>
      <w:r>
        <w:rPr>
          <w:rFonts w:hint="eastAsia" w:ascii="Times New Roman" w:hAnsi="Times New Roman" w:eastAsia="仿宋" w:cs="Times New Roman"/>
          <w:bCs/>
          <w:color w:val="auto"/>
          <w:spacing w:val="0"/>
          <w:kern w:val="0"/>
          <w:sz w:val="32"/>
          <w:szCs w:val="32"/>
          <w:highlight w:val="none"/>
          <w:lang w:val="en-US" w:eastAsia="zh-CN" w:bidi="ar"/>
        </w:rPr>
        <w:t>评价</w:t>
      </w:r>
      <w:r>
        <w:rPr>
          <w:rFonts w:hint="default" w:ascii="Times New Roman" w:hAnsi="Times New Roman" w:eastAsia="仿宋" w:cs="Times New Roman"/>
          <w:bCs/>
          <w:color w:val="auto"/>
          <w:spacing w:val="0"/>
          <w:kern w:val="0"/>
          <w:sz w:val="32"/>
          <w:szCs w:val="32"/>
          <w:highlight w:val="none"/>
          <w:lang w:val="en-US" w:eastAsia="zh-CN" w:bidi="ar"/>
        </w:rPr>
        <w:t>不当的，</w:t>
      </w:r>
      <w:r>
        <w:rPr>
          <w:rFonts w:hint="eastAsia" w:ascii="Times New Roman" w:hAnsi="Times New Roman" w:eastAsia="仿宋" w:cs="Times New Roman"/>
          <w:bCs/>
          <w:color w:val="auto"/>
          <w:spacing w:val="0"/>
          <w:kern w:val="0"/>
          <w:sz w:val="32"/>
          <w:szCs w:val="32"/>
          <w:highlight w:val="none"/>
          <w:lang w:val="en-US" w:eastAsia="zh-CN" w:bidi="ar"/>
        </w:rPr>
        <w:t>应当</w:t>
      </w:r>
      <w:r>
        <w:rPr>
          <w:rFonts w:hint="default" w:ascii="Times New Roman" w:hAnsi="Times New Roman" w:eastAsia="仿宋" w:cs="Times New Roman"/>
          <w:bCs/>
          <w:color w:val="auto"/>
          <w:spacing w:val="0"/>
          <w:kern w:val="0"/>
          <w:sz w:val="32"/>
          <w:szCs w:val="32"/>
          <w:highlight w:val="none"/>
          <w:lang w:val="en-US" w:eastAsia="zh-CN" w:bidi="ar"/>
        </w:rPr>
        <w:t>予以修正。</w:t>
      </w:r>
    </w:p>
    <w:p w14:paraId="577100FA">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bCs/>
          <w:color w:val="auto"/>
          <w:spacing w:val="0"/>
          <w:kern w:val="0"/>
          <w:sz w:val="32"/>
          <w:szCs w:val="32"/>
          <w:highlight w:val="none"/>
          <w:lang w:bidi="ar"/>
        </w:rPr>
      </w:pPr>
      <w:r>
        <w:rPr>
          <w:rFonts w:hint="default" w:ascii="仿宋" w:hAnsi="仿宋" w:eastAsia="仿宋" w:cs="仿宋"/>
          <w:b/>
          <w:bCs w:val="0"/>
          <w:color w:val="auto"/>
          <w:spacing w:val="0"/>
          <w:kern w:val="0"/>
          <w:sz w:val="32"/>
          <w:szCs w:val="32"/>
          <w:highlight w:val="none"/>
          <w:lang w:bidi="ar"/>
        </w:rPr>
        <w:t>第二十</w:t>
      </w:r>
      <w:r>
        <w:rPr>
          <w:rFonts w:hint="eastAsia" w:ascii="仿宋" w:hAnsi="仿宋" w:eastAsia="仿宋" w:cs="仿宋"/>
          <w:b/>
          <w:bCs w:val="0"/>
          <w:color w:val="auto"/>
          <w:spacing w:val="0"/>
          <w:kern w:val="0"/>
          <w:sz w:val="32"/>
          <w:szCs w:val="32"/>
          <w:highlight w:val="none"/>
          <w:lang w:val="en-US" w:eastAsia="zh-CN" w:bidi="ar"/>
        </w:rPr>
        <w:t>二</w:t>
      </w:r>
      <w:r>
        <w:rPr>
          <w:rFonts w:hint="default" w:ascii="仿宋" w:hAnsi="仿宋" w:eastAsia="仿宋" w:cs="仿宋"/>
          <w:b/>
          <w:bCs w:val="0"/>
          <w:color w:val="auto"/>
          <w:spacing w:val="0"/>
          <w:kern w:val="0"/>
          <w:sz w:val="32"/>
          <w:szCs w:val="32"/>
          <w:highlight w:val="none"/>
          <w:lang w:bidi="ar"/>
        </w:rPr>
        <w:t>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highlight w:val="none"/>
          <w:lang w:bidi="ar"/>
        </w:rPr>
        <w:t>各级公共资源交易机构和</w:t>
      </w:r>
      <w:r>
        <w:rPr>
          <w:rFonts w:hint="eastAsia" w:ascii="Times New Roman" w:hAnsi="Times New Roman" w:eastAsia="仿宋" w:cs="Times New Roman"/>
          <w:bCs/>
          <w:color w:val="auto"/>
          <w:spacing w:val="0"/>
          <w:kern w:val="0"/>
          <w:sz w:val="32"/>
          <w:szCs w:val="32"/>
          <w:highlight w:val="none"/>
          <w:lang w:eastAsia="zh-CN" w:bidi="ar"/>
        </w:rPr>
        <w:t>评价</w:t>
      </w:r>
      <w:r>
        <w:rPr>
          <w:rFonts w:hint="default" w:ascii="Times New Roman" w:hAnsi="Times New Roman" w:eastAsia="仿宋" w:cs="Times New Roman"/>
          <w:bCs/>
          <w:color w:val="auto"/>
          <w:spacing w:val="0"/>
          <w:kern w:val="0"/>
          <w:sz w:val="32"/>
          <w:szCs w:val="32"/>
          <w:highlight w:val="none"/>
          <w:lang w:bidi="ar"/>
        </w:rPr>
        <w:t>主体不按照本办法规定记录、报送代理机构</w:t>
      </w:r>
      <w:r>
        <w:rPr>
          <w:rFonts w:hint="eastAsia" w:ascii="Times New Roman" w:hAnsi="Times New Roman" w:eastAsia="仿宋" w:cs="Times New Roman"/>
          <w:bCs/>
          <w:color w:val="auto"/>
          <w:spacing w:val="0"/>
          <w:kern w:val="0"/>
          <w:sz w:val="32"/>
          <w:szCs w:val="32"/>
          <w:highlight w:val="none"/>
          <w:lang w:eastAsia="zh-CN" w:bidi="ar"/>
        </w:rPr>
        <w:t>评价</w:t>
      </w:r>
      <w:r>
        <w:rPr>
          <w:rFonts w:hint="default" w:ascii="Times New Roman" w:hAnsi="Times New Roman" w:eastAsia="仿宋" w:cs="Times New Roman"/>
          <w:bCs/>
          <w:color w:val="auto"/>
          <w:spacing w:val="0"/>
          <w:kern w:val="0"/>
          <w:sz w:val="32"/>
          <w:szCs w:val="32"/>
          <w:highlight w:val="none"/>
          <w:lang w:bidi="ar"/>
        </w:rPr>
        <w:t>相关情况的，或者不按照本办法规定受理、处理代理机构</w:t>
      </w:r>
      <w:r>
        <w:rPr>
          <w:rFonts w:hint="eastAsia" w:ascii="Times New Roman" w:hAnsi="Times New Roman" w:eastAsia="仿宋" w:cs="Times New Roman"/>
          <w:bCs/>
          <w:color w:val="auto"/>
          <w:spacing w:val="0"/>
          <w:kern w:val="0"/>
          <w:sz w:val="32"/>
          <w:szCs w:val="32"/>
          <w:highlight w:val="none"/>
          <w:lang w:eastAsia="zh-CN" w:bidi="ar"/>
        </w:rPr>
        <w:t>评价</w:t>
      </w:r>
      <w:r>
        <w:rPr>
          <w:rFonts w:hint="default" w:ascii="Times New Roman" w:hAnsi="Times New Roman" w:eastAsia="仿宋" w:cs="Times New Roman"/>
          <w:bCs/>
          <w:color w:val="auto"/>
          <w:spacing w:val="0"/>
          <w:kern w:val="0"/>
          <w:sz w:val="32"/>
          <w:szCs w:val="32"/>
          <w:highlight w:val="none"/>
          <w:lang w:bidi="ar"/>
        </w:rPr>
        <w:t>异议的，由自治区公共资源交易中心督促改正。</w:t>
      </w:r>
    </w:p>
    <w:p w14:paraId="1EA6D00D">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bCs/>
          <w:color w:val="auto"/>
          <w:spacing w:val="0"/>
          <w:kern w:val="0"/>
          <w:sz w:val="32"/>
          <w:szCs w:val="32"/>
          <w:highlight w:val="none"/>
          <w:lang w:bidi="ar"/>
        </w:rPr>
      </w:pPr>
      <w:r>
        <w:rPr>
          <w:rFonts w:hint="default" w:ascii="仿宋" w:hAnsi="仿宋" w:eastAsia="仿宋" w:cs="仿宋"/>
          <w:b/>
          <w:bCs w:val="0"/>
          <w:color w:val="auto"/>
          <w:spacing w:val="0"/>
          <w:kern w:val="0"/>
          <w:sz w:val="32"/>
          <w:szCs w:val="32"/>
          <w:highlight w:val="none"/>
          <w:lang w:bidi="ar"/>
        </w:rPr>
        <w:t>第二十</w:t>
      </w:r>
      <w:r>
        <w:rPr>
          <w:rFonts w:hint="eastAsia" w:ascii="仿宋" w:hAnsi="仿宋" w:eastAsia="仿宋" w:cs="仿宋"/>
          <w:b/>
          <w:bCs w:val="0"/>
          <w:color w:val="auto"/>
          <w:spacing w:val="0"/>
          <w:kern w:val="0"/>
          <w:sz w:val="32"/>
          <w:szCs w:val="32"/>
          <w:highlight w:val="none"/>
          <w:lang w:val="en-US" w:eastAsia="zh-CN" w:bidi="ar"/>
        </w:rPr>
        <w:t>三</w:t>
      </w:r>
      <w:r>
        <w:rPr>
          <w:rFonts w:hint="default" w:ascii="仿宋" w:hAnsi="仿宋" w:eastAsia="仿宋" w:cs="仿宋"/>
          <w:b/>
          <w:bCs w:val="0"/>
          <w:color w:val="auto"/>
          <w:spacing w:val="0"/>
          <w:kern w:val="0"/>
          <w:sz w:val="32"/>
          <w:szCs w:val="32"/>
          <w:highlight w:val="none"/>
          <w:lang w:bidi="ar"/>
        </w:rPr>
        <w:t>条</w:t>
      </w:r>
      <w:r>
        <w:rPr>
          <w:rFonts w:hint="eastAsia" w:ascii="Times New Roman" w:hAnsi="Times New Roman" w:eastAsia="黑体" w:cs="Times New Roman"/>
          <w:bCs/>
          <w:color w:val="auto"/>
          <w:spacing w:val="0"/>
          <w:kern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highlight w:val="none"/>
          <w:lang w:bidi="ar"/>
        </w:rPr>
        <w:t>参与</w:t>
      </w:r>
      <w:r>
        <w:rPr>
          <w:rFonts w:hint="eastAsia" w:ascii="Times New Roman" w:hAnsi="Times New Roman" w:eastAsia="仿宋" w:cs="Times New Roman"/>
          <w:bCs/>
          <w:color w:val="auto"/>
          <w:spacing w:val="0"/>
          <w:kern w:val="0"/>
          <w:sz w:val="32"/>
          <w:szCs w:val="32"/>
          <w:highlight w:val="none"/>
          <w:lang w:eastAsia="zh-CN" w:bidi="ar"/>
        </w:rPr>
        <w:t>评价</w:t>
      </w:r>
      <w:r>
        <w:rPr>
          <w:rFonts w:hint="default" w:ascii="Times New Roman" w:hAnsi="Times New Roman" w:eastAsia="仿宋" w:cs="Times New Roman"/>
          <w:bCs/>
          <w:color w:val="auto"/>
          <w:spacing w:val="0"/>
          <w:kern w:val="0"/>
          <w:sz w:val="32"/>
          <w:szCs w:val="32"/>
          <w:highlight w:val="none"/>
          <w:lang w:bidi="ar"/>
        </w:rPr>
        <w:t>各方主体工作人员，</w:t>
      </w:r>
      <w:r>
        <w:rPr>
          <w:rFonts w:hint="eastAsia" w:ascii="Times New Roman" w:hAnsi="Times New Roman" w:eastAsia="仿宋" w:cs="Times New Roman"/>
          <w:bCs/>
          <w:color w:val="auto"/>
          <w:spacing w:val="0"/>
          <w:kern w:val="0"/>
          <w:sz w:val="32"/>
          <w:szCs w:val="32"/>
          <w:highlight w:val="none"/>
          <w:lang w:eastAsia="zh-CN" w:bidi="ar"/>
        </w:rPr>
        <w:t>应当</w:t>
      </w:r>
      <w:r>
        <w:rPr>
          <w:rFonts w:hint="default" w:ascii="Times New Roman" w:hAnsi="Times New Roman" w:eastAsia="仿宋" w:cs="Times New Roman"/>
          <w:bCs/>
          <w:color w:val="auto"/>
          <w:spacing w:val="0"/>
          <w:kern w:val="0"/>
          <w:sz w:val="32"/>
          <w:szCs w:val="32"/>
          <w:highlight w:val="none"/>
          <w:lang w:bidi="ar"/>
        </w:rPr>
        <w:t>依据本办法的内容，严格、审慎履行</w:t>
      </w:r>
      <w:r>
        <w:rPr>
          <w:rFonts w:hint="eastAsia" w:ascii="Times New Roman" w:hAnsi="Times New Roman" w:eastAsia="仿宋" w:cs="Times New Roman"/>
          <w:bCs/>
          <w:color w:val="auto"/>
          <w:spacing w:val="0"/>
          <w:kern w:val="0"/>
          <w:sz w:val="32"/>
          <w:szCs w:val="32"/>
          <w:highlight w:val="none"/>
          <w:lang w:eastAsia="zh-CN" w:bidi="ar"/>
        </w:rPr>
        <w:t>评价</w:t>
      </w:r>
      <w:r>
        <w:rPr>
          <w:rFonts w:hint="default" w:ascii="Times New Roman" w:hAnsi="Times New Roman" w:eastAsia="仿宋" w:cs="Times New Roman"/>
          <w:bCs/>
          <w:color w:val="auto"/>
          <w:spacing w:val="0"/>
          <w:kern w:val="0"/>
          <w:sz w:val="32"/>
          <w:szCs w:val="32"/>
          <w:highlight w:val="none"/>
          <w:lang w:bidi="ar"/>
        </w:rPr>
        <w:t>职责。存在弄虚作假、滥用职权、玩忽职守、徇私舞弊的，按照有关规定严肃处理。涉嫌违法违纪的，</w:t>
      </w:r>
      <w:r>
        <w:rPr>
          <w:rFonts w:hint="eastAsia" w:ascii="Times New Roman" w:hAnsi="Times New Roman" w:eastAsia="仿宋" w:cs="Times New Roman"/>
          <w:bCs/>
          <w:color w:val="auto"/>
          <w:spacing w:val="0"/>
          <w:kern w:val="0"/>
          <w:sz w:val="32"/>
          <w:szCs w:val="32"/>
          <w:highlight w:val="none"/>
          <w:lang w:eastAsia="zh-CN" w:bidi="ar"/>
        </w:rPr>
        <w:t>移送纪检监察机关或者司法机关处置</w:t>
      </w:r>
      <w:r>
        <w:rPr>
          <w:rFonts w:hint="default" w:ascii="Times New Roman" w:hAnsi="Times New Roman" w:eastAsia="仿宋" w:cs="Times New Roman"/>
          <w:bCs/>
          <w:color w:val="auto"/>
          <w:spacing w:val="0"/>
          <w:kern w:val="0"/>
          <w:sz w:val="32"/>
          <w:szCs w:val="32"/>
          <w:highlight w:val="none"/>
          <w:lang w:bidi="ar"/>
        </w:rPr>
        <w:t>。</w:t>
      </w:r>
    </w:p>
    <w:p w14:paraId="39ECABA9">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default" w:ascii="Times New Roman" w:hAnsi="Times New Roman" w:eastAsia="仿宋" w:cs="Times New Roman"/>
          <w:bCs/>
          <w:color w:val="auto"/>
          <w:spacing w:val="0"/>
          <w:kern w:val="0"/>
          <w:sz w:val="32"/>
          <w:szCs w:val="32"/>
          <w:lang w:val="en-US" w:eastAsia="zh-CN" w:bidi="ar"/>
        </w:rPr>
      </w:pPr>
      <w:r>
        <w:rPr>
          <w:rFonts w:hint="default" w:ascii="仿宋" w:hAnsi="仿宋" w:eastAsia="仿宋" w:cs="仿宋"/>
          <w:b/>
          <w:bCs w:val="0"/>
          <w:color w:val="auto"/>
          <w:spacing w:val="0"/>
          <w:kern w:val="0"/>
          <w:sz w:val="32"/>
          <w:szCs w:val="32"/>
          <w:highlight w:val="none"/>
          <w:lang w:val="en-US" w:eastAsia="zh-CN" w:bidi="ar"/>
        </w:rPr>
        <w:t>第二十</w:t>
      </w:r>
      <w:r>
        <w:rPr>
          <w:rFonts w:hint="eastAsia" w:ascii="仿宋" w:hAnsi="仿宋" w:eastAsia="仿宋" w:cs="仿宋"/>
          <w:b/>
          <w:bCs w:val="0"/>
          <w:color w:val="auto"/>
          <w:spacing w:val="0"/>
          <w:kern w:val="0"/>
          <w:sz w:val="32"/>
          <w:szCs w:val="32"/>
          <w:highlight w:val="none"/>
          <w:lang w:val="en-US" w:eastAsia="zh-CN" w:bidi="ar"/>
        </w:rPr>
        <w:t>四</w:t>
      </w:r>
      <w:r>
        <w:rPr>
          <w:rFonts w:hint="default" w:ascii="仿宋" w:hAnsi="仿宋" w:eastAsia="仿宋" w:cs="仿宋"/>
          <w:b/>
          <w:bCs w:val="0"/>
          <w:color w:val="auto"/>
          <w:spacing w:val="0"/>
          <w:kern w:val="0"/>
          <w:sz w:val="32"/>
          <w:szCs w:val="32"/>
          <w:highlight w:val="none"/>
          <w:lang w:val="en-US" w:eastAsia="zh-CN" w:bidi="ar"/>
        </w:rPr>
        <w:t>条</w:t>
      </w:r>
      <w:r>
        <w:rPr>
          <w:rFonts w:hint="eastAsia" w:ascii="仿宋" w:hAnsi="仿宋" w:eastAsia="仿宋" w:cs="仿宋"/>
          <w:b/>
          <w:bCs w:val="0"/>
          <w:color w:val="auto"/>
          <w:spacing w:val="0"/>
          <w:kern w:val="0"/>
          <w:sz w:val="32"/>
          <w:szCs w:val="32"/>
          <w:highlight w:val="none"/>
          <w:lang w:val="en-US" w:eastAsia="zh-CN" w:bidi="ar"/>
        </w:rPr>
        <w:t xml:space="preserve"> </w:t>
      </w:r>
      <w:r>
        <w:rPr>
          <w:rFonts w:hint="default" w:ascii="Times New Roman" w:hAnsi="Times New Roman" w:eastAsia="仿宋" w:cs="Times New Roman"/>
          <w:bCs/>
          <w:color w:val="auto"/>
          <w:spacing w:val="0"/>
          <w:kern w:val="0"/>
          <w:sz w:val="32"/>
          <w:szCs w:val="32"/>
          <w:lang w:val="en-US" w:eastAsia="zh-CN" w:bidi="ar"/>
        </w:rPr>
        <w:t>本办法由自治区公共资源交易中心负责解释。</w:t>
      </w:r>
    </w:p>
    <w:p w14:paraId="3F59F8D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default" w:ascii="Times New Roman" w:hAnsi="Times New Roman" w:eastAsia="仿宋_GB2312" w:cs="Times New Roman"/>
          <w:bCs/>
          <w:color w:val="auto"/>
          <w:spacing w:val="0"/>
          <w:sz w:val="32"/>
          <w:szCs w:val="32"/>
          <w:lang w:bidi="ar"/>
        </w:rPr>
      </w:pPr>
      <w:r>
        <w:rPr>
          <w:rFonts w:hint="default" w:ascii="仿宋" w:hAnsi="仿宋" w:eastAsia="仿宋" w:cs="仿宋"/>
          <w:b/>
          <w:bCs w:val="0"/>
          <w:color w:val="auto"/>
          <w:spacing w:val="0"/>
          <w:kern w:val="0"/>
          <w:sz w:val="32"/>
          <w:szCs w:val="32"/>
          <w:highlight w:val="none"/>
          <w:lang w:val="en-US" w:eastAsia="zh-CN" w:bidi="ar"/>
        </w:rPr>
        <w:t>第二十</w:t>
      </w:r>
      <w:r>
        <w:rPr>
          <w:rFonts w:hint="eastAsia" w:ascii="仿宋" w:hAnsi="仿宋" w:eastAsia="仿宋" w:cs="仿宋"/>
          <w:b/>
          <w:bCs w:val="0"/>
          <w:color w:val="auto"/>
          <w:spacing w:val="0"/>
          <w:kern w:val="0"/>
          <w:sz w:val="32"/>
          <w:szCs w:val="32"/>
          <w:highlight w:val="none"/>
          <w:lang w:val="en-US" w:eastAsia="zh-CN" w:bidi="ar"/>
        </w:rPr>
        <w:t>五</w:t>
      </w:r>
      <w:r>
        <w:rPr>
          <w:rFonts w:hint="default" w:ascii="仿宋" w:hAnsi="仿宋" w:eastAsia="仿宋" w:cs="仿宋"/>
          <w:b/>
          <w:bCs w:val="0"/>
          <w:color w:val="auto"/>
          <w:spacing w:val="0"/>
          <w:kern w:val="0"/>
          <w:sz w:val="32"/>
          <w:szCs w:val="32"/>
          <w:highlight w:val="none"/>
          <w:lang w:val="en-US" w:eastAsia="zh-CN" w:bidi="ar"/>
        </w:rPr>
        <w:t>条</w:t>
      </w:r>
      <w:r>
        <w:rPr>
          <w:rFonts w:hint="eastAsia" w:ascii="Times New Roman" w:hAnsi="Times New Roman" w:eastAsia="仿宋_GB2312" w:cs="Times New Roman"/>
          <w:b/>
          <w:color w:val="auto"/>
          <w:spacing w:val="0"/>
          <w:sz w:val="32"/>
          <w:szCs w:val="32"/>
          <w:lang w:val="en-US" w:eastAsia="zh-CN" w:bidi="ar"/>
        </w:rPr>
        <w:t xml:space="preserve"> </w:t>
      </w:r>
      <w:r>
        <w:rPr>
          <w:rFonts w:hint="default" w:ascii="Times New Roman" w:hAnsi="Times New Roman" w:eastAsia="仿宋" w:cs="Times New Roman"/>
          <w:bCs/>
          <w:color w:val="auto"/>
          <w:spacing w:val="0"/>
          <w:kern w:val="0"/>
          <w:sz w:val="32"/>
          <w:szCs w:val="32"/>
          <w:lang w:val="en-US" w:eastAsia="zh-CN" w:bidi="ar"/>
        </w:rPr>
        <w:t>本办法自发布之日起实施。</w:t>
      </w:r>
    </w:p>
    <w:p w14:paraId="44FCFC46">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default" w:ascii="Times New Roman" w:hAnsi="Times New Roman" w:eastAsia="黑体" w:cs="Times New Roman"/>
          <w:bCs/>
          <w:color w:val="auto"/>
          <w:spacing w:val="0"/>
          <w:sz w:val="32"/>
          <w:szCs w:val="32"/>
          <w:lang w:bidi="ar"/>
        </w:rPr>
      </w:pPr>
    </w:p>
    <w:p w14:paraId="28581C0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37"/>
        <w:jc w:val="both"/>
        <w:textAlignment w:val="auto"/>
        <w:rPr>
          <w:rFonts w:hint="default" w:ascii="Times New Roman" w:hAnsi="Times New Roman" w:eastAsia="仿宋" w:cs="Times New Roman"/>
          <w:bCs/>
          <w:color w:val="auto"/>
          <w:spacing w:val="0"/>
          <w:kern w:val="0"/>
          <w:sz w:val="32"/>
          <w:szCs w:val="32"/>
          <w:lang w:val="en-US" w:eastAsia="zh-CN" w:bidi="ar"/>
        </w:rPr>
      </w:pPr>
      <w:r>
        <w:rPr>
          <w:rFonts w:hint="default" w:ascii="Times New Roman" w:hAnsi="Times New Roman" w:eastAsia="仿宋" w:cs="Times New Roman"/>
          <w:bCs/>
          <w:color w:val="auto"/>
          <w:spacing w:val="0"/>
          <w:sz w:val="32"/>
          <w:szCs w:val="32"/>
          <w:lang w:bidi="ar"/>
        </w:rPr>
        <w:t>附</w:t>
      </w:r>
      <w:r>
        <w:rPr>
          <w:rFonts w:hint="eastAsia" w:ascii="Times New Roman" w:hAnsi="Times New Roman" w:eastAsia="仿宋" w:cs="Times New Roman"/>
          <w:bCs/>
          <w:color w:val="auto"/>
          <w:spacing w:val="0"/>
          <w:sz w:val="32"/>
          <w:szCs w:val="32"/>
          <w:lang w:val="en-US" w:eastAsia="zh-CN" w:bidi="ar"/>
        </w:rPr>
        <w:t>件</w:t>
      </w:r>
      <w:r>
        <w:rPr>
          <w:rFonts w:hint="default" w:ascii="Times New Roman" w:hAnsi="Times New Roman" w:eastAsia="仿宋" w:cs="Times New Roman"/>
          <w:b w:val="0"/>
          <w:bCs/>
          <w:color w:val="auto"/>
          <w:spacing w:val="0"/>
          <w:sz w:val="32"/>
          <w:szCs w:val="32"/>
          <w:lang w:bidi="ar"/>
        </w:rPr>
        <w:t>：</w:t>
      </w:r>
      <w:r>
        <w:rPr>
          <w:rFonts w:hint="default" w:ascii="Times New Roman" w:hAnsi="Times New Roman" w:eastAsia="仿宋" w:cs="Times New Roman"/>
          <w:bCs/>
          <w:color w:val="auto"/>
          <w:spacing w:val="0"/>
          <w:kern w:val="0"/>
          <w:sz w:val="32"/>
          <w:szCs w:val="32"/>
          <w:lang w:val="en-US" w:eastAsia="zh-CN" w:bidi="ar"/>
        </w:rPr>
        <w:t>自治区公共资源交易代理机构及从业人员现场履职</w:t>
      </w:r>
    </w:p>
    <w:p w14:paraId="57FF5EA1">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1609" w:firstLineChars="503"/>
        <w:jc w:val="both"/>
        <w:textAlignment w:val="auto"/>
        <w:rPr>
          <w:rFonts w:hint="default" w:ascii="Times New Roman" w:hAnsi="Times New Roman" w:eastAsia="仿宋" w:cs="Times New Roman"/>
          <w:bCs/>
          <w:color w:val="auto"/>
          <w:spacing w:val="0"/>
          <w:kern w:val="0"/>
          <w:sz w:val="32"/>
          <w:szCs w:val="32"/>
          <w:lang w:val="en-US" w:eastAsia="zh-CN" w:bidi="ar"/>
        </w:rPr>
      </w:pPr>
      <w:r>
        <w:rPr>
          <w:rFonts w:hint="default" w:ascii="Times New Roman" w:hAnsi="Times New Roman" w:eastAsia="仿宋" w:cs="Times New Roman"/>
          <w:bCs/>
          <w:color w:val="auto"/>
          <w:spacing w:val="0"/>
          <w:kern w:val="0"/>
          <w:sz w:val="32"/>
          <w:szCs w:val="32"/>
          <w:lang w:val="en-US" w:eastAsia="zh-CN" w:bidi="ar"/>
        </w:rPr>
        <w:t>情况评价记录表</w:t>
      </w:r>
    </w:p>
    <w:p w14:paraId="3F819DDF">
      <w:pPr>
        <w:adjustRightInd w:val="0"/>
        <w:snapToGrid w:val="0"/>
        <w:spacing w:line="360" w:lineRule="auto"/>
        <w:jc w:val="both"/>
        <w:rPr>
          <w:rFonts w:hint="default" w:ascii="Times New Roman" w:hAnsi="Times New Roman" w:eastAsia="黑体" w:cs="Times New Roman"/>
          <w:color w:val="auto"/>
          <w:sz w:val="32"/>
          <w:szCs w:val="32"/>
        </w:rPr>
      </w:pPr>
    </w:p>
    <w:p w14:paraId="112DE57A">
      <w:pPr>
        <w:adjustRightInd w:val="0"/>
        <w:snapToGrid w:val="0"/>
        <w:spacing w:line="360" w:lineRule="auto"/>
        <w:jc w:val="both"/>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val="en-US" w:eastAsia="zh-CN"/>
        </w:rPr>
        <w:t>件</w:t>
      </w:r>
    </w:p>
    <w:p w14:paraId="14D6E9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自治区公共资源交易</w:t>
      </w:r>
      <w:r>
        <w:rPr>
          <w:rFonts w:hint="default" w:ascii="Times New Roman" w:hAnsi="Times New Roman" w:eastAsia="方正小标宋简体" w:cs="Times New Roman"/>
          <w:color w:val="auto"/>
          <w:sz w:val="44"/>
          <w:szCs w:val="44"/>
        </w:rPr>
        <w:t>代理机构</w:t>
      </w:r>
      <w:r>
        <w:rPr>
          <w:rFonts w:hint="eastAsia" w:ascii="Times New Roman" w:hAnsi="Times New Roman" w:eastAsia="方正小标宋简体" w:cs="Times New Roman"/>
          <w:color w:val="auto"/>
          <w:sz w:val="44"/>
          <w:szCs w:val="44"/>
          <w:lang w:val="en-US" w:eastAsia="zh-CN"/>
        </w:rPr>
        <w:t>及从业人员</w:t>
      </w:r>
    </w:p>
    <w:p w14:paraId="0B5F96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现场履职情况</w:t>
      </w:r>
      <w:r>
        <w:rPr>
          <w:rFonts w:hint="default" w:ascii="Times New Roman" w:hAnsi="Times New Roman" w:eastAsia="方正小标宋简体" w:cs="Times New Roman"/>
          <w:color w:val="auto"/>
          <w:sz w:val="44"/>
          <w:szCs w:val="44"/>
        </w:rPr>
        <w:t>评价记录表</w:t>
      </w:r>
    </w:p>
    <w:p w14:paraId="4C79C44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bCs/>
          <w:color w:val="auto"/>
          <w:spacing w:val="-6"/>
          <w:sz w:val="28"/>
          <w:szCs w:val="28"/>
        </w:rPr>
      </w:pPr>
    </w:p>
    <w:p w14:paraId="6C2CA39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bCs/>
          <w:color w:val="auto"/>
          <w:spacing w:val="-6"/>
          <w:sz w:val="28"/>
          <w:szCs w:val="28"/>
          <w:u w:val="single"/>
          <w:lang w:val="en-US" w:eastAsia="zh-CN"/>
        </w:rPr>
      </w:pPr>
      <w:r>
        <w:rPr>
          <w:rFonts w:hint="default" w:ascii="Times New Roman" w:hAnsi="Times New Roman" w:eastAsia="仿宋" w:cs="Times New Roman"/>
          <w:bCs/>
          <w:color w:val="auto"/>
          <w:spacing w:val="-6"/>
          <w:sz w:val="28"/>
          <w:szCs w:val="28"/>
        </w:rPr>
        <w:t>项目名称：</w:t>
      </w:r>
      <w:r>
        <w:rPr>
          <w:rFonts w:hint="default" w:ascii="Times New Roman" w:hAnsi="Times New Roman" w:eastAsia="仿宋" w:cs="Times New Roman"/>
          <w:bCs/>
          <w:color w:val="auto"/>
          <w:spacing w:val="-6"/>
          <w:sz w:val="28"/>
          <w:szCs w:val="28"/>
          <w:u w:val="single"/>
        </w:rPr>
        <w:t xml:space="preserve">                            </w:t>
      </w:r>
      <w:r>
        <w:rPr>
          <w:rFonts w:hint="eastAsia" w:ascii="Times New Roman" w:hAnsi="Times New Roman" w:eastAsia="仿宋" w:cs="Times New Roman"/>
          <w:bCs/>
          <w:color w:val="auto"/>
          <w:spacing w:val="-6"/>
          <w:sz w:val="28"/>
          <w:szCs w:val="28"/>
          <w:u w:val="single"/>
          <w:lang w:val="en-US" w:eastAsia="zh-CN"/>
        </w:rPr>
        <w:t xml:space="preserve">                </w:t>
      </w:r>
    </w:p>
    <w:p w14:paraId="55BD4AB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bCs/>
          <w:color w:val="auto"/>
          <w:spacing w:val="-6"/>
          <w:sz w:val="28"/>
          <w:szCs w:val="28"/>
          <w:u w:val="single"/>
        </w:rPr>
      </w:pPr>
      <w:r>
        <w:rPr>
          <w:rFonts w:hint="default" w:ascii="Times New Roman" w:hAnsi="Times New Roman" w:eastAsia="仿宋" w:cs="Times New Roman"/>
          <w:bCs/>
          <w:color w:val="auto"/>
          <w:spacing w:val="-6"/>
          <w:sz w:val="28"/>
          <w:szCs w:val="28"/>
        </w:rPr>
        <w:t>代理机构名称：</w:t>
      </w:r>
      <w:r>
        <w:rPr>
          <w:rFonts w:hint="default" w:ascii="Times New Roman" w:hAnsi="Times New Roman" w:eastAsia="仿宋" w:cs="Times New Roman"/>
          <w:bCs/>
          <w:color w:val="auto"/>
          <w:spacing w:val="-6"/>
          <w:sz w:val="28"/>
          <w:szCs w:val="28"/>
          <w:u w:val="single"/>
        </w:rPr>
        <w:t xml:space="preserve">                          </w:t>
      </w:r>
      <w:r>
        <w:rPr>
          <w:rFonts w:hint="eastAsia" w:ascii="Times New Roman" w:hAnsi="Times New Roman" w:eastAsia="仿宋" w:cs="Times New Roman"/>
          <w:bCs/>
          <w:color w:val="auto"/>
          <w:spacing w:val="-6"/>
          <w:sz w:val="28"/>
          <w:szCs w:val="28"/>
          <w:u w:val="single"/>
          <w:lang w:val="en-US" w:eastAsia="zh-CN"/>
        </w:rPr>
        <w:t xml:space="preserve">              </w:t>
      </w:r>
      <w:r>
        <w:rPr>
          <w:rFonts w:hint="default" w:ascii="Times New Roman" w:hAnsi="Times New Roman" w:eastAsia="仿宋" w:cs="Times New Roman"/>
          <w:bCs/>
          <w:color w:val="auto"/>
          <w:spacing w:val="-6"/>
          <w:sz w:val="28"/>
          <w:szCs w:val="28"/>
        </w:rPr>
        <w:t xml:space="preserve">  </w:t>
      </w:r>
    </w:p>
    <w:p w14:paraId="53F2819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bCs/>
          <w:color w:val="auto"/>
          <w:spacing w:val="-6"/>
          <w:sz w:val="28"/>
          <w:szCs w:val="28"/>
          <w:u w:val="single"/>
        </w:rPr>
      </w:pPr>
      <w:r>
        <w:rPr>
          <w:rFonts w:hint="default" w:ascii="Times New Roman" w:hAnsi="Times New Roman" w:eastAsia="仿宋" w:cs="Times New Roman"/>
          <w:bCs/>
          <w:color w:val="auto"/>
          <w:spacing w:val="-6"/>
          <w:sz w:val="28"/>
          <w:szCs w:val="28"/>
        </w:rPr>
        <w:t>开标时间：</w:t>
      </w:r>
      <w:r>
        <w:rPr>
          <w:rFonts w:hint="default" w:ascii="Times New Roman" w:hAnsi="Times New Roman" w:eastAsia="仿宋" w:cs="Times New Roman"/>
          <w:bCs/>
          <w:color w:val="auto"/>
          <w:spacing w:val="-6"/>
          <w:sz w:val="28"/>
          <w:szCs w:val="28"/>
          <w:u w:val="single"/>
        </w:rPr>
        <w:t xml:space="preserve">        </w:t>
      </w:r>
      <w:r>
        <w:rPr>
          <w:rFonts w:hint="default" w:ascii="Times New Roman" w:hAnsi="Times New Roman" w:eastAsia="仿宋" w:cs="Times New Roman"/>
          <w:bCs/>
          <w:color w:val="auto"/>
          <w:spacing w:val="-6"/>
          <w:sz w:val="28"/>
          <w:szCs w:val="28"/>
        </w:rPr>
        <w:t>年</w:t>
      </w:r>
      <w:r>
        <w:rPr>
          <w:rFonts w:hint="default" w:ascii="Times New Roman" w:hAnsi="Times New Roman" w:eastAsia="仿宋" w:cs="Times New Roman"/>
          <w:bCs/>
          <w:color w:val="auto"/>
          <w:spacing w:val="-6"/>
          <w:sz w:val="28"/>
          <w:szCs w:val="28"/>
          <w:u w:val="single"/>
        </w:rPr>
        <w:t xml:space="preserve">        </w:t>
      </w:r>
      <w:r>
        <w:rPr>
          <w:rFonts w:hint="default" w:ascii="Times New Roman" w:hAnsi="Times New Roman" w:eastAsia="仿宋" w:cs="Times New Roman"/>
          <w:bCs/>
          <w:color w:val="auto"/>
          <w:spacing w:val="-6"/>
          <w:sz w:val="28"/>
          <w:szCs w:val="28"/>
        </w:rPr>
        <w:t>月</w:t>
      </w:r>
      <w:r>
        <w:rPr>
          <w:rFonts w:hint="default" w:ascii="Times New Roman" w:hAnsi="Times New Roman" w:eastAsia="仿宋" w:cs="Times New Roman"/>
          <w:bCs/>
          <w:color w:val="auto"/>
          <w:spacing w:val="-6"/>
          <w:sz w:val="28"/>
          <w:szCs w:val="28"/>
          <w:u w:val="single"/>
        </w:rPr>
        <w:t xml:space="preserve">        </w:t>
      </w:r>
      <w:r>
        <w:rPr>
          <w:rFonts w:hint="default" w:ascii="Times New Roman" w:hAnsi="Times New Roman" w:eastAsia="仿宋" w:cs="Times New Roman"/>
          <w:bCs/>
          <w:color w:val="auto"/>
          <w:spacing w:val="-6"/>
          <w:sz w:val="28"/>
          <w:szCs w:val="28"/>
        </w:rPr>
        <w:t>日</w:t>
      </w:r>
      <w:r>
        <w:rPr>
          <w:rFonts w:hint="default" w:ascii="Times New Roman" w:hAnsi="Times New Roman" w:eastAsia="仿宋" w:cs="Times New Roman"/>
          <w:bCs/>
          <w:color w:val="auto"/>
          <w:spacing w:val="-6"/>
          <w:sz w:val="28"/>
          <w:szCs w:val="28"/>
          <w:u w:val="single"/>
        </w:rPr>
        <w:t xml:space="preserve">         </w:t>
      </w:r>
    </w:p>
    <w:p w14:paraId="1543B6A3">
      <w:pPr>
        <w:pStyle w:val="8"/>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 w:cs="Times New Roman"/>
          <w:bCs/>
          <w:color w:val="auto"/>
          <w:spacing w:val="-6"/>
          <w:sz w:val="28"/>
          <w:szCs w:val="28"/>
        </w:rPr>
      </w:pPr>
      <w:r>
        <w:rPr>
          <w:rFonts w:hint="default" w:ascii="Times New Roman" w:hAnsi="Times New Roman" w:eastAsia="仿宋" w:cs="Times New Roman"/>
          <w:bCs/>
          <w:color w:val="auto"/>
          <w:spacing w:val="-6"/>
          <w:sz w:val="28"/>
          <w:szCs w:val="28"/>
        </w:rPr>
        <w:t>开标地点：</w:t>
      </w:r>
      <w:r>
        <w:rPr>
          <w:rFonts w:hint="default" w:ascii="Times New Roman" w:hAnsi="Times New Roman" w:eastAsia="仿宋" w:cs="Times New Roman"/>
          <w:bCs/>
          <w:color w:val="auto"/>
          <w:spacing w:val="-6"/>
          <w:sz w:val="28"/>
          <w:szCs w:val="28"/>
          <w:u w:val="single"/>
        </w:rPr>
        <w:t xml:space="preserve">        </w:t>
      </w:r>
      <w:r>
        <w:rPr>
          <w:rFonts w:hint="default" w:ascii="Times New Roman" w:hAnsi="Times New Roman" w:eastAsia="仿宋" w:cs="Times New Roman"/>
          <w:bCs/>
          <w:color w:val="auto"/>
          <w:spacing w:val="-6"/>
          <w:sz w:val="28"/>
          <w:szCs w:val="28"/>
        </w:rPr>
        <w:t>号开标室          评标地点：</w:t>
      </w:r>
      <w:r>
        <w:rPr>
          <w:rFonts w:hint="default" w:ascii="Times New Roman" w:hAnsi="Times New Roman" w:eastAsia="仿宋" w:cs="Times New Roman"/>
          <w:bCs/>
          <w:color w:val="auto"/>
          <w:spacing w:val="-6"/>
          <w:sz w:val="28"/>
          <w:szCs w:val="28"/>
          <w:u w:val="single"/>
        </w:rPr>
        <w:t xml:space="preserve">        </w:t>
      </w:r>
      <w:r>
        <w:rPr>
          <w:rFonts w:hint="default" w:ascii="Times New Roman" w:hAnsi="Times New Roman" w:eastAsia="仿宋" w:cs="Times New Roman"/>
          <w:bCs/>
          <w:color w:val="auto"/>
          <w:spacing w:val="-6"/>
          <w:sz w:val="28"/>
          <w:szCs w:val="28"/>
        </w:rPr>
        <w:t>号评标室</w:t>
      </w:r>
    </w:p>
    <w:p w14:paraId="16B75D3C">
      <w:pPr>
        <w:pStyle w:val="8"/>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仿宋" w:cs="Times New Roman"/>
          <w:bCs/>
          <w:color w:val="auto"/>
          <w:spacing w:val="-6"/>
          <w:sz w:val="28"/>
          <w:szCs w:val="28"/>
          <w:u w:val="single"/>
        </w:rPr>
      </w:pPr>
      <w:r>
        <w:rPr>
          <w:rFonts w:hint="default" w:ascii="Times New Roman" w:hAnsi="Times New Roman" w:eastAsia="仿宋" w:cs="Times New Roman"/>
          <w:bCs/>
          <w:color w:val="auto"/>
          <w:spacing w:val="-6"/>
          <w:sz w:val="28"/>
          <w:szCs w:val="28"/>
        </w:rPr>
        <w:t>填报单位及姓名：</w:t>
      </w:r>
      <w:r>
        <w:rPr>
          <w:rFonts w:hint="default" w:ascii="Times New Roman" w:hAnsi="Times New Roman" w:eastAsia="仿宋" w:cs="Times New Roman"/>
          <w:bCs/>
          <w:color w:val="auto"/>
          <w:spacing w:val="-6"/>
          <w:sz w:val="28"/>
          <w:szCs w:val="28"/>
          <w:u w:val="single"/>
        </w:rPr>
        <w:t xml:space="preserve">                                               </w:t>
      </w:r>
    </w:p>
    <w:tbl>
      <w:tblPr>
        <w:tblStyle w:val="16"/>
        <w:tblpPr w:leftFromText="180" w:rightFromText="180" w:vertAnchor="text" w:horzAnchor="page" w:tblpX="954" w:tblpY="478"/>
        <w:tblOverlap w:val="never"/>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5428"/>
        <w:gridCol w:w="763"/>
        <w:gridCol w:w="750"/>
        <w:gridCol w:w="737"/>
        <w:gridCol w:w="905"/>
      </w:tblGrid>
      <w:tr w14:paraId="0929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764" w:type="dxa"/>
            <w:noWrap w:val="0"/>
            <w:vAlign w:val="center"/>
          </w:tcPr>
          <w:p w14:paraId="60BC49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lang w:eastAsia="zh-CN"/>
              </w:rPr>
              <w:t>评价</w:t>
            </w:r>
            <w:r>
              <w:rPr>
                <w:rFonts w:hint="eastAsia" w:ascii="仿宋" w:hAnsi="仿宋" w:eastAsia="仿宋" w:cs="仿宋"/>
                <w:b/>
                <w:bCs/>
                <w:color w:val="auto"/>
                <w:sz w:val="24"/>
              </w:rPr>
              <w:t>内容</w:t>
            </w:r>
          </w:p>
        </w:tc>
        <w:tc>
          <w:tcPr>
            <w:tcW w:w="5428" w:type="dxa"/>
            <w:noWrap w:val="0"/>
            <w:vAlign w:val="center"/>
          </w:tcPr>
          <w:p w14:paraId="6CC0AE7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lang w:val="en-US" w:eastAsia="zh-CN"/>
              </w:rPr>
              <w:t>评价</w:t>
            </w:r>
            <w:r>
              <w:rPr>
                <w:rFonts w:hint="eastAsia" w:ascii="仿宋" w:hAnsi="仿宋" w:eastAsia="仿宋" w:cs="仿宋"/>
                <w:b/>
                <w:bCs/>
                <w:color w:val="auto"/>
                <w:sz w:val="24"/>
              </w:rPr>
              <w:t>内容</w:t>
            </w:r>
          </w:p>
        </w:tc>
        <w:tc>
          <w:tcPr>
            <w:tcW w:w="763" w:type="dxa"/>
            <w:noWrap w:val="0"/>
            <w:vAlign w:val="center"/>
          </w:tcPr>
          <w:p w14:paraId="0DA589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rPr>
              <w:t>扣分标准</w:t>
            </w:r>
          </w:p>
        </w:tc>
        <w:tc>
          <w:tcPr>
            <w:tcW w:w="750" w:type="dxa"/>
            <w:noWrap w:val="0"/>
            <w:vAlign w:val="center"/>
          </w:tcPr>
          <w:p w14:paraId="2DB8328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color w:val="auto"/>
                <w:sz w:val="24"/>
                <w:highlight w:val="yellow"/>
                <w:lang w:eastAsia="zh-CN"/>
              </w:rPr>
            </w:pPr>
            <w:r>
              <w:rPr>
                <w:rFonts w:hint="eastAsia" w:ascii="仿宋" w:hAnsi="仿宋" w:eastAsia="仿宋" w:cs="仿宋"/>
                <w:b/>
                <w:bCs/>
                <w:color w:val="auto"/>
                <w:sz w:val="24"/>
                <w:lang w:val="en-US" w:eastAsia="zh-CN"/>
              </w:rPr>
              <w:t>代理机构</w:t>
            </w:r>
          </w:p>
        </w:tc>
        <w:tc>
          <w:tcPr>
            <w:tcW w:w="737" w:type="dxa"/>
            <w:noWrap w:val="0"/>
            <w:vAlign w:val="center"/>
          </w:tcPr>
          <w:p w14:paraId="47FE8E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color w:val="auto"/>
                <w:sz w:val="24"/>
                <w:highlight w:val="yellow"/>
                <w:lang w:val="en-US" w:eastAsia="zh-CN"/>
              </w:rPr>
            </w:pPr>
            <w:r>
              <w:rPr>
                <w:rFonts w:hint="eastAsia" w:ascii="仿宋" w:hAnsi="仿宋" w:eastAsia="仿宋" w:cs="仿宋"/>
                <w:b/>
                <w:bCs/>
                <w:color w:val="auto"/>
                <w:sz w:val="24"/>
                <w:lang w:val="en-US" w:eastAsia="zh-CN"/>
              </w:rPr>
              <w:t>项目负责人</w:t>
            </w:r>
          </w:p>
        </w:tc>
        <w:tc>
          <w:tcPr>
            <w:tcW w:w="905" w:type="dxa"/>
            <w:noWrap w:val="0"/>
            <w:vAlign w:val="center"/>
          </w:tcPr>
          <w:p w14:paraId="16F7CD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bCs/>
                <w:color w:val="auto"/>
                <w:sz w:val="24"/>
              </w:rPr>
            </w:pPr>
            <w:r>
              <w:rPr>
                <w:rFonts w:hint="eastAsia" w:ascii="仿宋" w:hAnsi="仿宋" w:eastAsia="仿宋" w:cs="仿宋"/>
                <w:b/>
                <w:bCs/>
                <w:color w:val="auto"/>
                <w:sz w:val="24"/>
                <w:lang w:val="en-US" w:eastAsia="zh-CN"/>
              </w:rPr>
              <w:t>备注</w:t>
            </w:r>
          </w:p>
        </w:tc>
      </w:tr>
      <w:tr w14:paraId="3AEF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64" w:type="dxa"/>
            <w:vMerge w:val="restart"/>
            <w:noWrap w:val="0"/>
            <w:vAlign w:val="center"/>
          </w:tcPr>
          <w:p w14:paraId="10E2F6C5">
            <w:pPr>
              <w:adjustRightInd w:val="0"/>
              <w:snapToGrid w:val="0"/>
              <w:spacing w:line="360" w:lineRule="auto"/>
              <w:jc w:val="center"/>
              <w:rPr>
                <w:rFonts w:hint="default" w:ascii="Times New Roman" w:hAnsi="Times New Roman" w:eastAsia="仿宋" w:cs="Times New Roman"/>
                <w:color w:val="auto"/>
                <w:sz w:val="24"/>
              </w:rPr>
            </w:pPr>
            <w:r>
              <w:rPr>
                <w:rFonts w:hint="eastAsia" w:ascii="黑体" w:hAnsi="黑体" w:eastAsia="黑体" w:cs="黑体"/>
                <w:b w:val="0"/>
                <w:bCs w:val="0"/>
                <w:color w:val="auto"/>
                <w:sz w:val="24"/>
              </w:rPr>
              <w:t>文件制作和发布</w:t>
            </w:r>
          </w:p>
        </w:tc>
        <w:tc>
          <w:tcPr>
            <w:tcW w:w="5428" w:type="dxa"/>
            <w:noWrap w:val="0"/>
            <w:vAlign w:val="center"/>
          </w:tcPr>
          <w:p w14:paraId="7E649E8A">
            <w:pPr>
              <w:adjustRightInd w:val="0"/>
              <w:snapToGrid w:val="0"/>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1.未按规定发布招标公告</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招标文件、澄清文件、中标公示、结果公告的</w:t>
            </w:r>
          </w:p>
        </w:tc>
        <w:tc>
          <w:tcPr>
            <w:tcW w:w="763" w:type="dxa"/>
            <w:noWrap w:val="0"/>
            <w:vAlign w:val="center"/>
          </w:tcPr>
          <w:p w14:paraId="3F1BCD69">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36842138">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1F4C6C4A">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51FB18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42F8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 w:type="dxa"/>
            <w:vMerge w:val="continue"/>
            <w:noWrap w:val="0"/>
            <w:vAlign w:val="center"/>
          </w:tcPr>
          <w:p w14:paraId="24AE3380">
            <w:pPr>
              <w:adjustRightInd w:val="0"/>
              <w:snapToGrid w:val="0"/>
              <w:spacing w:line="360" w:lineRule="auto"/>
              <w:jc w:val="center"/>
              <w:rPr>
                <w:rFonts w:hint="default" w:ascii="Times New Roman" w:hAnsi="Times New Roman" w:eastAsia="仿宋" w:cs="Times New Roman"/>
                <w:color w:val="auto"/>
                <w:sz w:val="24"/>
              </w:rPr>
            </w:pPr>
          </w:p>
        </w:tc>
        <w:tc>
          <w:tcPr>
            <w:tcW w:w="5428" w:type="dxa"/>
            <w:noWrap w:val="0"/>
            <w:vAlign w:val="center"/>
          </w:tcPr>
          <w:p w14:paraId="1AF1487B">
            <w:pPr>
              <w:adjustRightInd w:val="0"/>
              <w:snapToGrid w:val="0"/>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2.未按要求使用交易文件范本的</w:t>
            </w:r>
          </w:p>
        </w:tc>
        <w:tc>
          <w:tcPr>
            <w:tcW w:w="763" w:type="dxa"/>
            <w:noWrap w:val="0"/>
            <w:vAlign w:val="center"/>
          </w:tcPr>
          <w:p w14:paraId="2477A784">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w:t>
            </w:r>
          </w:p>
        </w:tc>
        <w:tc>
          <w:tcPr>
            <w:tcW w:w="750" w:type="dxa"/>
            <w:noWrap w:val="0"/>
            <w:vAlign w:val="center"/>
          </w:tcPr>
          <w:p w14:paraId="317AB7BD">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1A421036">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4ED7EE3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6D44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4" w:type="dxa"/>
            <w:vMerge w:val="continue"/>
            <w:noWrap w:val="0"/>
            <w:vAlign w:val="center"/>
          </w:tcPr>
          <w:p w14:paraId="6A6C6A68">
            <w:pPr>
              <w:adjustRightInd w:val="0"/>
              <w:snapToGrid w:val="0"/>
              <w:spacing w:line="360" w:lineRule="auto"/>
              <w:jc w:val="center"/>
              <w:rPr>
                <w:rFonts w:hint="default" w:ascii="Times New Roman" w:hAnsi="Times New Roman" w:eastAsia="仿宋" w:cs="Times New Roman"/>
                <w:color w:val="auto"/>
                <w:sz w:val="24"/>
              </w:rPr>
            </w:pPr>
          </w:p>
        </w:tc>
        <w:tc>
          <w:tcPr>
            <w:tcW w:w="5428" w:type="dxa"/>
            <w:noWrap w:val="0"/>
            <w:vAlign w:val="center"/>
          </w:tcPr>
          <w:p w14:paraId="67AF49CA">
            <w:pPr>
              <w:adjustRightInd w:val="0"/>
              <w:snapToGrid w:val="0"/>
              <w:spacing w:line="400" w:lineRule="exact"/>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3.公告公示信息发布出现明显误差或内容存在错别字</w:t>
            </w:r>
            <w:r>
              <w:rPr>
                <w:rFonts w:hint="default" w:ascii="Times New Roman" w:hAnsi="Times New Roman" w:eastAsia="仿宋" w:cs="Times New Roman"/>
                <w:color w:val="auto"/>
                <w:sz w:val="24"/>
                <w:lang w:val="en-US" w:eastAsia="zh-CN"/>
              </w:rPr>
              <w:t>的</w:t>
            </w:r>
          </w:p>
        </w:tc>
        <w:tc>
          <w:tcPr>
            <w:tcW w:w="763" w:type="dxa"/>
            <w:noWrap w:val="0"/>
            <w:vAlign w:val="center"/>
          </w:tcPr>
          <w:p w14:paraId="5A671AD4">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750" w:type="dxa"/>
            <w:noWrap w:val="0"/>
            <w:vAlign w:val="center"/>
          </w:tcPr>
          <w:p w14:paraId="0B1541E4">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4FBC419D">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1AA357E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7534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 w:type="dxa"/>
            <w:vMerge w:val="continue"/>
            <w:noWrap w:val="0"/>
            <w:vAlign w:val="center"/>
          </w:tcPr>
          <w:p w14:paraId="326D2E01">
            <w:pPr>
              <w:adjustRightInd w:val="0"/>
              <w:snapToGrid w:val="0"/>
              <w:spacing w:line="360" w:lineRule="auto"/>
              <w:jc w:val="center"/>
              <w:rPr>
                <w:rFonts w:hint="default" w:ascii="Times New Roman" w:hAnsi="Times New Roman" w:eastAsia="仿宋" w:cs="Times New Roman"/>
                <w:color w:val="auto"/>
                <w:sz w:val="24"/>
              </w:rPr>
            </w:pPr>
          </w:p>
        </w:tc>
        <w:tc>
          <w:tcPr>
            <w:tcW w:w="5428" w:type="dxa"/>
            <w:noWrap w:val="0"/>
            <w:vAlign w:val="center"/>
          </w:tcPr>
          <w:p w14:paraId="1873C869">
            <w:pPr>
              <w:adjustRightInd w:val="0"/>
              <w:snapToGrid w:val="0"/>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4.招标公告、澄清公告、中标公告等交易信息发布出现错误</w:t>
            </w:r>
            <w:r>
              <w:rPr>
                <w:rFonts w:hint="default"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eastAsia="zh-CN"/>
              </w:rPr>
              <w:t>必须</w:t>
            </w:r>
            <w:r>
              <w:rPr>
                <w:rFonts w:hint="default" w:ascii="Times New Roman" w:hAnsi="Times New Roman" w:eastAsia="仿宋" w:cs="Times New Roman"/>
                <w:color w:val="auto"/>
                <w:sz w:val="24"/>
              </w:rPr>
              <w:t>通过修改系统数据或退回已操作流程才能修改错误的</w:t>
            </w:r>
          </w:p>
        </w:tc>
        <w:tc>
          <w:tcPr>
            <w:tcW w:w="763" w:type="dxa"/>
            <w:noWrap w:val="0"/>
            <w:vAlign w:val="center"/>
          </w:tcPr>
          <w:p w14:paraId="10B2880D">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77DDDD8C">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781456DC">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43C8C1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419F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64" w:type="dxa"/>
            <w:vMerge w:val="continue"/>
            <w:noWrap w:val="0"/>
            <w:vAlign w:val="center"/>
          </w:tcPr>
          <w:p w14:paraId="7B7BEC27">
            <w:pPr>
              <w:adjustRightInd w:val="0"/>
              <w:snapToGrid w:val="0"/>
              <w:spacing w:line="360" w:lineRule="auto"/>
              <w:jc w:val="center"/>
              <w:rPr>
                <w:rFonts w:hint="default" w:ascii="Times New Roman" w:hAnsi="Times New Roman" w:eastAsia="仿宋" w:cs="Times New Roman"/>
                <w:color w:val="auto"/>
                <w:sz w:val="24"/>
              </w:rPr>
            </w:pPr>
          </w:p>
        </w:tc>
        <w:tc>
          <w:tcPr>
            <w:tcW w:w="5428" w:type="dxa"/>
            <w:noWrap w:val="0"/>
            <w:vAlign w:val="center"/>
          </w:tcPr>
          <w:p w14:paraId="3D121165">
            <w:pPr>
              <w:adjustRightInd w:val="0"/>
              <w:snapToGrid w:val="0"/>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5.招标公告、招标文件未载明联系电话</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或者被</w:t>
            </w:r>
            <w:r>
              <w:rPr>
                <w:rFonts w:hint="eastAsia" w:ascii="Times New Roman" w:hAnsi="Times New Roman" w:eastAsia="仿宋" w:cs="Times New Roman"/>
                <w:color w:val="auto"/>
                <w:sz w:val="24"/>
                <w:lang w:eastAsia="zh-CN"/>
              </w:rPr>
              <w:t>项目响应方</w:t>
            </w:r>
            <w:r>
              <w:rPr>
                <w:rFonts w:hint="default" w:ascii="Times New Roman" w:hAnsi="Times New Roman" w:eastAsia="仿宋" w:cs="Times New Roman"/>
                <w:color w:val="auto"/>
                <w:sz w:val="24"/>
              </w:rPr>
              <w:t>反映载明联系电话多次拨打无人接听</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经查属实的</w:t>
            </w:r>
          </w:p>
        </w:tc>
        <w:tc>
          <w:tcPr>
            <w:tcW w:w="763" w:type="dxa"/>
            <w:noWrap w:val="0"/>
            <w:vAlign w:val="center"/>
          </w:tcPr>
          <w:p w14:paraId="5F6C2A25">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750" w:type="dxa"/>
            <w:noWrap w:val="0"/>
            <w:vAlign w:val="center"/>
          </w:tcPr>
          <w:p w14:paraId="2BC97B3A">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39C99D00">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2F6B80B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70ED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4" w:type="dxa"/>
            <w:vMerge w:val="continue"/>
            <w:noWrap w:val="0"/>
            <w:vAlign w:val="center"/>
          </w:tcPr>
          <w:p w14:paraId="1009ED4C">
            <w:pPr>
              <w:adjustRightInd w:val="0"/>
              <w:snapToGrid w:val="0"/>
              <w:spacing w:line="360" w:lineRule="auto"/>
              <w:jc w:val="center"/>
              <w:rPr>
                <w:rFonts w:hint="default" w:ascii="Times New Roman" w:hAnsi="Times New Roman" w:eastAsia="仿宋" w:cs="Times New Roman"/>
                <w:color w:val="auto"/>
                <w:sz w:val="24"/>
              </w:rPr>
            </w:pPr>
          </w:p>
        </w:tc>
        <w:tc>
          <w:tcPr>
            <w:tcW w:w="5428" w:type="dxa"/>
            <w:noWrap w:val="0"/>
            <w:vAlign w:val="center"/>
          </w:tcPr>
          <w:p w14:paraId="13D66696">
            <w:pPr>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6.招标文件前后条款相同内容表述不一致或答疑澄清等补充说明文件不严谨产生自相矛盾，造成</w:t>
            </w:r>
            <w:r>
              <w:rPr>
                <w:rFonts w:hint="eastAsia" w:ascii="Times New Roman" w:hAnsi="Times New Roman" w:eastAsia="仿宋" w:cs="Times New Roman"/>
                <w:color w:val="auto"/>
                <w:sz w:val="24"/>
                <w:lang w:eastAsia="zh-CN"/>
              </w:rPr>
              <w:t>项目响应方</w:t>
            </w:r>
            <w:r>
              <w:rPr>
                <w:rFonts w:hint="default" w:ascii="Times New Roman" w:hAnsi="Times New Roman" w:eastAsia="仿宋" w:cs="Times New Roman"/>
                <w:color w:val="auto"/>
                <w:sz w:val="24"/>
              </w:rPr>
              <w:t>被否决投标</w:t>
            </w:r>
            <w:r>
              <w:rPr>
                <w:rFonts w:hint="eastAsia" w:ascii="Times New Roman" w:hAnsi="Times New Roman" w:eastAsia="仿宋" w:cs="Times New Roman"/>
                <w:color w:val="auto"/>
                <w:sz w:val="24"/>
                <w:lang w:val="en-US" w:eastAsia="zh-CN"/>
              </w:rPr>
              <w:t>（响应）</w:t>
            </w:r>
            <w:r>
              <w:rPr>
                <w:rFonts w:hint="default" w:ascii="Times New Roman" w:hAnsi="Times New Roman" w:eastAsia="仿宋" w:cs="Times New Roman"/>
                <w:color w:val="auto"/>
                <w:sz w:val="24"/>
              </w:rPr>
              <w:t>的</w:t>
            </w:r>
          </w:p>
        </w:tc>
        <w:tc>
          <w:tcPr>
            <w:tcW w:w="763" w:type="dxa"/>
            <w:noWrap w:val="0"/>
            <w:vAlign w:val="center"/>
          </w:tcPr>
          <w:p w14:paraId="681C5012">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30</w:t>
            </w:r>
          </w:p>
        </w:tc>
        <w:tc>
          <w:tcPr>
            <w:tcW w:w="750" w:type="dxa"/>
            <w:noWrap w:val="0"/>
            <w:vAlign w:val="center"/>
          </w:tcPr>
          <w:p w14:paraId="7EDFA5D0">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62B44D1A">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61D2BB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6F3B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64" w:type="dxa"/>
            <w:vMerge w:val="continue"/>
            <w:noWrap w:val="0"/>
            <w:vAlign w:val="center"/>
          </w:tcPr>
          <w:p w14:paraId="686953C9">
            <w:pPr>
              <w:adjustRightInd w:val="0"/>
              <w:snapToGrid w:val="0"/>
              <w:spacing w:line="360" w:lineRule="auto"/>
              <w:jc w:val="center"/>
              <w:rPr>
                <w:rFonts w:hint="default" w:ascii="Times New Roman" w:hAnsi="Times New Roman" w:eastAsia="仿宋" w:cs="Times New Roman"/>
                <w:color w:val="auto"/>
                <w:sz w:val="24"/>
              </w:rPr>
            </w:pPr>
          </w:p>
        </w:tc>
        <w:tc>
          <w:tcPr>
            <w:tcW w:w="5428" w:type="dxa"/>
            <w:noWrap w:val="0"/>
            <w:vAlign w:val="center"/>
          </w:tcPr>
          <w:p w14:paraId="6FEC56FB">
            <w:pPr>
              <w:spacing w:line="400" w:lineRule="exact"/>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7.任意设置违规条款而导致</w:t>
            </w:r>
            <w:r>
              <w:rPr>
                <w:rFonts w:hint="eastAsia" w:ascii="Times New Roman" w:hAnsi="Times New Roman" w:eastAsia="仿宋" w:cs="Times New Roman"/>
                <w:color w:val="auto"/>
                <w:sz w:val="24"/>
                <w:lang w:eastAsia="zh-CN"/>
              </w:rPr>
              <w:t>项目响应方</w:t>
            </w:r>
            <w:r>
              <w:rPr>
                <w:rFonts w:hint="default" w:ascii="Times New Roman" w:hAnsi="Times New Roman" w:eastAsia="仿宋" w:cs="Times New Roman"/>
                <w:color w:val="auto"/>
                <w:sz w:val="24"/>
              </w:rPr>
              <w:t>被否决投</w:t>
            </w:r>
            <w:r>
              <w:rPr>
                <w:rFonts w:hint="eastAsia" w:ascii="Times New Roman" w:hAnsi="Times New Roman" w:eastAsia="仿宋" w:cs="Times New Roman"/>
                <w:color w:val="auto"/>
                <w:sz w:val="24"/>
                <w:lang w:val="en-US" w:eastAsia="zh-CN"/>
              </w:rPr>
              <w:t>标（响应）的</w:t>
            </w:r>
          </w:p>
        </w:tc>
        <w:tc>
          <w:tcPr>
            <w:tcW w:w="763" w:type="dxa"/>
            <w:noWrap w:val="0"/>
            <w:vAlign w:val="center"/>
          </w:tcPr>
          <w:p w14:paraId="36137436">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30</w:t>
            </w:r>
          </w:p>
        </w:tc>
        <w:tc>
          <w:tcPr>
            <w:tcW w:w="750" w:type="dxa"/>
            <w:noWrap w:val="0"/>
            <w:vAlign w:val="center"/>
          </w:tcPr>
          <w:p w14:paraId="0FB713E6">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558B1EDB">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08AEBB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710A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64" w:type="dxa"/>
            <w:vMerge w:val="restart"/>
            <w:noWrap w:val="0"/>
            <w:vAlign w:val="center"/>
          </w:tcPr>
          <w:p w14:paraId="7EFA1628">
            <w:pPr>
              <w:adjustRightInd w:val="0"/>
              <w:snapToGrid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黑体" w:cs="Times New Roman"/>
                <w:color w:val="auto"/>
                <w:sz w:val="24"/>
              </w:rPr>
              <w:t>文件制作和发布</w:t>
            </w:r>
          </w:p>
        </w:tc>
        <w:tc>
          <w:tcPr>
            <w:tcW w:w="5428" w:type="dxa"/>
            <w:noWrap w:val="0"/>
            <w:vAlign w:val="center"/>
          </w:tcPr>
          <w:p w14:paraId="17EF615E">
            <w:pPr>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8.所代理项目未在各级公共资源交易平台成功预约场地，但在其它网站发布该项目招标公告信息的</w:t>
            </w:r>
          </w:p>
        </w:tc>
        <w:tc>
          <w:tcPr>
            <w:tcW w:w="763" w:type="dxa"/>
            <w:noWrap w:val="0"/>
            <w:vAlign w:val="center"/>
          </w:tcPr>
          <w:p w14:paraId="4AC886B4">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750" w:type="dxa"/>
            <w:noWrap w:val="0"/>
            <w:vAlign w:val="center"/>
          </w:tcPr>
          <w:p w14:paraId="52677468">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1978A12C">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3701D0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46C1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64" w:type="dxa"/>
            <w:vMerge w:val="continue"/>
            <w:noWrap w:val="0"/>
            <w:vAlign w:val="center"/>
          </w:tcPr>
          <w:p w14:paraId="5A49C55C">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3A5DF576">
            <w:pPr>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9.</w:t>
            </w:r>
            <w:r>
              <w:rPr>
                <w:rFonts w:hint="eastAsia" w:ascii="Times New Roman" w:hAnsi="Times New Roman" w:eastAsia="仿宋" w:cs="Times New Roman"/>
                <w:color w:val="auto"/>
                <w:sz w:val="24"/>
                <w:lang w:val="en-US" w:eastAsia="zh-CN"/>
              </w:rPr>
              <w:t>系统</w:t>
            </w:r>
            <w:r>
              <w:rPr>
                <w:rFonts w:hint="default" w:ascii="Times New Roman" w:hAnsi="Times New Roman" w:eastAsia="仿宋" w:cs="Times New Roman"/>
                <w:color w:val="auto"/>
                <w:sz w:val="24"/>
              </w:rPr>
              <w:t>提交同</w:t>
            </w:r>
            <w:r>
              <w:rPr>
                <w:rFonts w:hint="default" w:ascii="Times New Roman" w:hAnsi="Times New Roman" w:eastAsia="仿宋" w:cs="Times New Roman"/>
                <w:color w:val="auto"/>
                <w:sz w:val="24"/>
                <w:lang w:val="en-US" w:eastAsia="zh-CN"/>
              </w:rPr>
              <w:t>一</w:t>
            </w:r>
            <w:r>
              <w:rPr>
                <w:rFonts w:hint="eastAsia" w:ascii="Times New Roman" w:hAnsi="Times New Roman" w:eastAsia="仿宋" w:cs="Times New Roman"/>
                <w:color w:val="auto"/>
                <w:sz w:val="24"/>
                <w:lang w:val="en-US" w:eastAsia="zh-CN"/>
              </w:rPr>
              <w:t>项目交易</w:t>
            </w:r>
            <w:r>
              <w:rPr>
                <w:rFonts w:hint="default" w:ascii="Times New Roman" w:hAnsi="Times New Roman" w:eastAsia="仿宋" w:cs="Times New Roman"/>
                <w:color w:val="auto"/>
                <w:sz w:val="24"/>
                <w:lang w:val="en-US" w:eastAsia="zh-CN"/>
              </w:rPr>
              <w:t>信息错误或不规范，被交易机构退回达2次以上的</w:t>
            </w:r>
          </w:p>
        </w:tc>
        <w:tc>
          <w:tcPr>
            <w:tcW w:w="763" w:type="dxa"/>
            <w:noWrap w:val="0"/>
            <w:vAlign w:val="center"/>
          </w:tcPr>
          <w:p w14:paraId="2D4BBF59">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750" w:type="dxa"/>
            <w:noWrap w:val="0"/>
            <w:vAlign w:val="center"/>
          </w:tcPr>
          <w:p w14:paraId="33C1026B">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7F9AEE5E">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31B25EBA">
            <w:pPr>
              <w:pStyle w:val="9"/>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default" w:ascii="Times New Roman" w:hAnsi="Times New Roman" w:eastAsia="仿宋" w:cs="Times New Roman"/>
                <w:color w:val="auto"/>
              </w:rPr>
            </w:pPr>
          </w:p>
        </w:tc>
      </w:tr>
      <w:tr w14:paraId="728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64" w:type="dxa"/>
            <w:vMerge w:val="continue"/>
            <w:noWrap w:val="0"/>
            <w:vAlign w:val="center"/>
          </w:tcPr>
          <w:p w14:paraId="6C2D2A75">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715E67C4">
            <w:pPr>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sz w:val="24"/>
              </w:rPr>
              <w:t>10.在交易系统中录入的项目信息与发布的招标文件不一致，影响潜在</w:t>
            </w:r>
            <w:r>
              <w:rPr>
                <w:rFonts w:hint="eastAsia" w:ascii="Times New Roman" w:hAnsi="Times New Roman" w:eastAsia="仿宋" w:cs="Times New Roman"/>
                <w:color w:val="auto"/>
                <w:sz w:val="24"/>
                <w:lang w:eastAsia="zh-CN"/>
              </w:rPr>
              <w:t>项目响应方</w:t>
            </w:r>
            <w:r>
              <w:rPr>
                <w:rFonts w:hint="default" w:ascii="Times New Roman" w:hAnsi="Times New Roman" w:eastAsia="仿宋" w:cs="Times New Roman"/>
                <w:color w:val="auto"/>
                <w:sz w:val="24"/>
              </w:rPr>
              <w:t>投标的</w:t>
            </w:r>
          </w:p>
        </w:tc>
        <w:tc>
          <w:tcPr>
            <w:tcW w:w="763" w:type="dxa"/>
            <w:noWrap w:val="0"/>
            <w:vAlign w:val="center"/>
          </w:tcPr>
          <w:p w14:paraId="76440420">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10</w:t>
            </w:r>
          </w:p>
        </w:tc>
        <w:tc>
          <w:tcPr>
            <w:tcW w:w="750" w:type="dxa"/>
            <w:noWrap w:val="0"/>
            <w:vAlign w:val="center"/>
          </w:tcPr>
          <w:p w14:paraId="60AFE300">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596C9E6F">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5278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3B71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64" w:type="dxa"/>
            <w:vMerge w:val="continue"/>
            <w:noWrap w:val="0"/>
            <w:vAlign w:val="center"/>
          </w:tcPr>
          <w:p w14:paraId="680D9826">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01373FF2">
            <w:pPr>
              <w:pStyle w:val="9"/>
              <w:ind w:firstLine="0" w:firstLineChars="0"/>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11.</w:t>
            </w:r>
            <w:r>
              <w:rPr>
                <w:rFonts w:hint="eastAsia" w:ascii="Times New Roman" w:hAnsi="Times New Roman" w:eastAsia="仿宋" w:cs="Times New Roman"/>
                <w:color w:val="auto"/>
                <w:sz w:val="24"/>
                <w:lang w:val="en-US" w:eastAsia="zh-CN"/>
              </w:rPr>
              <w:t>需复评</w:t>
            </w:r>
            <w:r>
              <w:rPr>
                <w:rFonts w:hint="eastAsia" w:ascii="Times New Roman" w:hAnsi="Times New Roman" w:eastAsia="仿宋" w:cs="Times New Roman"/>
                <w:color w:val="auto"/>
                <w:kern w:val="2"/>
                <w:sz w:val="24"/>
                <w:szCs w:val="22"/>
                <w:lang w:val="en-US" w:eastAsia="zh-CN" w:bidi="ar-SA"/>
              </w:rPr>
              <w:t>的进场交易项目</w:t>
            </w:r>
            <w:r>
              <w:rPr>
                <w:rFonts w:hint="default" w:ascii="Times New Roman" w:hAnsi="Times New Roman" w:eastAsia="仿宋" w:cs="Times New Roman"/>
                <w:color w:val="auto"/>
                <w:kern w:val="2"/>
                <w:sz w:val="24"/>
                <w:szCs w:val="22"/>
                <w:lang w:val="en-US" w:eastAsia="zh-CN" w:bidi="ar-SA"/>
              </w:rPr>
              <w:t>不</w:t>
            </w:r>
            <w:r>
              <w:rPr>
                <w:rFonts w:hint="eastAsia" w:ascii="Times New Roman" w:hAnsi="Times New Roman" w:eastAsia="仿宋" w:cs="Times New Roman"/>
                <w:color w:val="auto"/>
                <w:kern w:val="2"/>
                <w:sz w:val="24"/>
                <w:szCs w:val="22"/>
                <w:lang w:val="en-US" w:eastAsia="zh-CN" w:bidi="ar-SA"/>
              </w:rPr>
              <w:t>提供或不完整提供</w:t>
            </w:r>
            <w:r>
              <w:rPr>
                <w:rFonts w:hint="default" w:ascii="Times New Roman" w:hAnsi="Times New Roman" w:eastAsia="仿宋" w:cs="Times New Roman"/>
                <w:color w:val="auto"/>
                <w:kern w:val="2"/>
                <w:sz w:val="24"/>
                <w:szCs w:val="22"/>
                <w:lang w:val="en-US" w:eastAsia="zh-CN" w:bidi="ar-SA"/>
              </w:rPr>
              <w:t>质疑（异议）、投诉资料的</w:t>
            </w:r>
          </w:p>
        </w:tc>
        <w:tc>
          <w:tcPr>
            <w:tcW w:w="763" w:type="dxa"/>
            <w:noWrap w:val="0"/>
            <w:vAlign w:val="center"/>
          </w:tcPr>
          <w:p w14:paraId="6F75FC6B">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031BE805">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644F318C">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238D612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0C57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64" w:type="dxa"/>
            <w:vMerge w:val="continue"/>
            <w:noWrap w:val="0"/>
            <w:vAlign w:val="center"/>
          </w:tcPr>
          <w:p w14:paraId="66833F49">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2CCBAA70">
            <w:pPr>
              <w:pStyle w:val="9"/>
              <w:ind w:firstLine="0" w:firstLineChars="0"/>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w:t>
            </w:r>
            <w:r>
              <w:rPr>
                <w:rFonts w:hint="eastAsia" w:ascii="Times New Roman" w:hAnsi="Times New Roman" w:eastAsia="仿宋" w:cs="Times New Roman"/>
                <w:color w:val="auto"/>
                <w:sz w:val="24"/>
                <w:lang w:val="en-US" w:eastAsia="zh-CN"/>
              </w:rPr>
              <w:t>2.未在招标文件中标注项目监管单位及有效联系方式的</w:t>
            </w:r>
          </w:p>
        </w:tc>
        <w:tc>
          <w:tcPr>
            <w:tcW w:w="763" w:type="dxa"/>
            <w:noWrap w:val="0"/>
            <w:vAlign w:val="center"/>
          </w:tcPr>
          <w:p w14:paraId="34300A6E">
            <w:pPr>
              <w:adjustRightInd w:val="0"/>
              <w:snapToGrid w:val="0"/>
              <w:spacing w:line="360" w:lineRule="auto"/>
              <w:jc w:val="center"/>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1</w:t>
            </w:r>
            <w:r>
              <w:rPr>
                <w:rFonts w:hint="default" w:ascii="Times New Roman" w:hAnsi="Times New Roman" w:eastAsia="仿宋" w:cs="Times New Roman"/>
                <w:color w:val="auto"/>
                <w:sz w:val="24"/>
              </w:rPr>
              <w:t>5</w:t>
            </w:r>
          </w:p>
        </w:tc>
        <w:tc>
          <w:tcPr>
            <w:tcW w:w="750" w:type="dxa"/>
            <w:noWrap w:val="0"/>
            <w:vAlign w:val="center"/>
          </w:tcPr>
          <w:p w14:paraId="408EDD41">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3823BCEF">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179E928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4947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64" w:type="dxa"/>
            <w:vMerge w:val="restart"/>
            <w:tcBorders>
              <w:top w:val="single" w:color="auto" w:sz="4" w:space="0"/>
              <w:left w:val="single" w:color="auto" w:sz="4" w:space="0"/>
              <w:right w:val="single" w:color="auto" w:sz="4" w:space="0"/>
            </w:tcBorders>
            <w:noWrap w:val="0"/>
            <w:vAlign w:val="center"/>
          </w:tcPr>
          <w:p w14:paraId="5125FB0A">
            <w:pPr>
              <w:adjustRightInd w:val="0"/>
              <w:snapToGrid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黑体" w:cs="Times New Roman"/>
                <w:color w:val="auto"/>
                <w:sz w:val="24"/>
              </w:rPr>
              <w:t>开评标规范</w:t>
            </w:r>
          </w:p>
          <w:p w14:paraId="61886613">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589DC635">
            <w:pPr>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1.开标</w:t>
            </w: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拍卖、竞价等</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评标</w:t>
            </w:r>
            <w:r>
              <w:rPr>
                <w:rFonts w:hint="eastAsia" w:ascii="Times New Roman" w:hAnsi="Times New Roman" w:eastAsia="仿宋" w:cs="Times New Roman"/>
                <w:color w:val="auto"/>
                <w:sz w:val="24"/>
                <w:lang w:val="en-US" w:eastAsia="zh-CN"/>
              </w:rPr>
              <w:t>评审</w:t>
            </w:r>
            <w:r>
              <w:rPr>
                <w:rFonts w:hint="default" w:ascii="Times New Roman" w:hAnsi="Times New Roman" w:eastAsia="仿宋" w:cs="Times New Roman"/>
                <w:color w:val="auto"/>
                <w:sz w:val="24"/>
              </w:rPr>
              <w:t>准备工作不充分或者组织程序混乱</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出现明显差错的</w:t>
            </w:r>
          </w:p>
        </w:tc>
        <w:tc>
          <w:tcPr>
            <w:tcW w:w="763" w:type="dxa"/>
            <w:noWrap w:val="0"/>
            <w:vAlign w:val="center"/>
          </w:tcPr>
          <w:p w14:paraId="73604E62">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4EFD93CC">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3AE6F67E">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4168138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0472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64" w:type="dxa"/>
            <w:vMerge w:val="continue"/>
            <w:tcBorders>
              <w:left w:val="single" w:color="auto" w:sz="4" w:space="0"/>
              <w:right w:val="single" w:color="auto" w:sz="4" w:space="0"/>
            </w:tcBorders>
            <w:noWrap w:val="0"/>
            <w:vAlign w:val="center"/>
          </w:tcPr>
          <w:p w14:paraId="35F7A419">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76B3A13B">
            <w:pPr>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2.违规拒收应当接收的投标（响应）文件的</w:t>
            </w:r>
          </w:p>
        </w:tc>
        <w:tc>
          <w:tcPr>
            <w:tcW w:w="763" w:type="dxa"/>
            <w:noWrap w:val="0"/>
            <w:vAlign w:val="center"/>
          </w:tcPr>
          <w:p w14:paraId="5CF8FD12">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30</w:t>
            </w:r>
          </w:p>
        </w:tc>
        <w:tc>
          <w:tcPr>
            <w:tcW w:w="750" w:type="dxa"/>
            <w:noWrap w:val="0"/>
            <w:vAlign w:val="center"/>
          </w:tcPr>
          <w:p w14:paraId="1A58F0F7">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09E8A0BB">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29539B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735B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64" w:type="dxa"/>
            <w:vMerge w:val="continue"/>
            <w:tcBorders>
              <w:left w:val="single" w:color="auto" w:sz="4" w:space="0"/>
              <w:right w:val="single" w:color="auto" w:sz="4" w:space="0"/>
            </w:tcBorders>
            <w:noWrap w:val="0"/>
            <w:vAlign w:val="center"/>
          </w:tcPr>
          <w:p w14:paraId="745F95AB">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7513339B">
            <w:pPr>
              <w:spacing w:line="400" w:lineRule="exact"/>
              <w:jc w:val="both"/>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w:t>
            </w:r>
            <w:r>
              <w:rPr>
                <w:rFonts w:hint="default" w:ascii="Times New Roman" w:hAnsi="Times New Roman" w:eastAsia="仿宋" w:cs="Times New Roman"/>
                <w:color w:val="auto"/>
                <w:sz w:val="24"/>
              </w:rPr>
              <w:t>投标截止时间之后接收投标（响应）文件</w:t>
            </w:r>
            <w:r>
              <w:rPr>
                <w:rFonts w:hint="eastAsia" w:ascii="Times New Roman" w:hAnsi="Times New Roman" w:eastAsia="仿宋" w:cs="Times New Roman"/>
                <w:color w:val="auto"/>
                <w:sz w:val="24"/>
                <w:lang w:val="en-US" w:eastAsia="zh-CN"/>
              </w:rPr>
              <w:t>的</w:t>
            </w:r>
          </w:p>
        </w:tc>
        <w:tc>
          <w:tcPr>
            <w:tcW w:w="763" w:type="dxa"/>
            <w:noWrap w:val="0"/>
            <w:vAlign w:val="center"/>
          </w:tcPr>
          <w:p w14:paraId="6666BE3D">
            <w:pPr>
              <w:adjustRightInd w:val="0"/>
              <w:snapToGrid w:val="0"/>
              <w:spacing w:line="36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30</w:t>
            </w:r>
          </w:p>
        </w:tc>
        <w:tc>
          <w:tcPr>
            <w:tcW w:w="750" w:type="dxa"/>
            <w:noWrap w:val="0"/>
            <w:vAlign w:val="center"/>
          </w:tcPr>
          <w:p w14:paraId="0782D238">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41EF1E01">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60D6055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4E95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4" w:type="dxa"/>
            <w:vMerge w:val="continue"/>
            <w:tcBorders>
              <w:left w:val="single" w:color="auto" w:sz="4" w:space="0"/>
              <w:right w:val="single" w:color="auto" w:sz="4" w:space="0"/>
            </w:tcBorders>
            <w:noWrap w:val="0"/>
            <w:vAlign w:val="center"/>
          </w:tcPr>
          <w:p w14:paraId="53DC1BCC">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01650029">
            <w:pPr>
              <w:tabs>
                <w:tab w:val="left" w:pos="1843"/>
              </w:tabs>
              <w:spacing w:line="400" w:lineRule="exact"/>
              <w:jc w:val="both"/>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val="en-US" w:eastAsia="zh-CN"/>
              </w:rPr>
              <w:t>4.</w:t>
            </w:r>
            <w:r>
              <w:rPr>
                <w:rFonts w:hint="eastAsia" w:ascii="Times New Roman" w:hAnsi="Times New Roman" w:eastAsia="仿宋" w:cs="Times New Roman"/>
                <w:color w:val="auto"/>
                <w:sz w:val="24"/>
                <w:lang w:eastAsia="zh-CN"/>
              </w:rPr>
              <w:t>发现偷换</w:t>
            </w:r>
            <w:r>
              <w:rPr>
                <w:rFonts w:hint="eastAsia" w:ascii="Times New Roman" w:hAnsi="Times New Roman" w:eastAsia="仿宋" w:cs="Times New Roman"/>
                <w:color w:val="auto"/>
                <w:sz w:val="24"/>
                <w:lang w:val="en-US" w:eastAsia="zh-CN"/>
              </w:rPr>
              <w:t>招标、</w:t>
            </w:r>
            <w:r>
              <w:rPr>
                <w:rFonts w:hint="eastAsia" w:ascii="Times New Roman" w:hAnsi="Times New Roman" w:eastAsia="仿宋" w:cs="Times New Roman"/>
                <w:color w:val="auto"/>
                <w:sz w:val="24"/>
                <w:lang w:eastAsia="zh-CN"/>
              </w:rPr>
              <w:t>投标、评标等交易文件的</w:t>
            </w:r>
          </w:p>
        </w:tc>
        <w:tc>
          <w:tcPr>
            <w:tcW w:w="763" w:type="dxa"/>
            <w:noWrap w:val="0"/>
            <w:vAlign w:val="center"/>
          </w:tcPr>
          <w:p w14:paraId="535164F0">
            <w:pPr>
              <w:adjustRightInd w:val="0"/>
              <w:snapToGrid w:val="0"/>
              <w:spacing w:line="36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30</w:t>
            </w:r>
          </w:p>
        </w:tc>
        <w:tc>
          <w:tcPr>
            <w:tcW w:w="750" w:type="dxa"/>
            <w:noWrap w:val="0"/>
            <w:vAlign w:val="center"/>
          </w:tcPr>
          <w:p w14:paraId="3B7F57CB">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6EDB487A">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7410837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6CCE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64" w:type="dxa"/>
            <w:vMerge w:val="continue"/>
            <w:tcBorders>
              <w:left w:val="single" w:color="auto" w:sz="4" w:space="0"/>
              <w:right w:val="single" w:color="auto" w:sz="4" w:space="0"/>
            </w:tcBorders>
            <w:noWrap w:val="0"/>
            <w:vAlign w:val="center"/>
          </w:tcPr>
          <w:p w14:paraId="6D44B543">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7321EE47">
            <w:pPr>
              <w:tabs>
                <w:tab w:val="left" w:pos="1284"/>
              </w:tabs>
              <w:spacing w:line="400" w:lineRule="exact"/>
              <w:jc w:val="both"/>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val="en-US" w:eastAsia="zh-CN"/>
              </w:rPr>
              <w:t>5.</w:t>
            </w:r>
            <w:r>
              <w:rPr>
                <w:rFonts w:hint="eastAsia" w:ascii="Times New Roman" w:hAnsi="Times New Roman" w:eastAsia="仿宋" w:cs="Times New Roman"/>
                <w:color w:val="auto"/>
                <w:sz w:val="24"/>
                <w:lang w:eastAsia="zh-CN"/>
              </w:rPr>
              <w:t>在所代理的招标项目中投标、代理投标</w:t>
            </w:r>
            <w:r>
              <w:rPr>
                <w:rFonts w:hint="eastAsia" w:ascii="Times New Roman" w:hAnsi="Times New Roman" w:eastAsia="仿宋" w:cs="Times New Roman"/>
                <w:color w:val="auto"/>
                <w:sz w:val="24"/>
                <w:lang w:val="en-US" w:eastAsia="zh-CN"/>
              </w:rPr>
              <w:t>的</w:t>
            </w:r>
          </w:p>
        </w:tc>
        <w:tc>
          <w:tcPr>
            <w:tcW w:w="763" w:type="dxa"/>
            <w:noWrap w:val="0"/>
            <w:vAlign w:val="center"/>
          </w:tcPr>
          <w:p w14:paraId="1044B784">
            <w:pPr>
              <w:adjustRightInd w:val="0"/>
              <w:snapToGrid w:val="0"/>
              <w:spacing w:line="36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30</w:t>
            </w:r>
          </w:p>
        </w:tc>
        <w:tc>
          <w:tcPr>
            <w:tcW w:w="750" w:type="dxa"/>
            <w:noWrap w:val="0"/>
            <w:vAlign w:val="center"/>
          </w:tcPr>
          <w:p w14:paraId="0B65ED3F">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422CCCD0">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067DF3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2B7D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64" w:type="dxa"/>
            <w:vMerge w:val="continue"/>
            <w:tcBorders>
              <w:left w:val="single" w:color="auto" w:sz="4" w:space="0"/>
              <w:right w:val="single" w:color="auto" w:sz="4" w:space="0"/>
            </w:tcBorders>
            <w:noWrap w:val="0"/>
            <w:vAlign w:val="center"/>
          </w:tcPr>
          <w:p w14:paraId="229050E2">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2A18E90A">
            <w:pPr>
              <w:spacing w:line="400" w:lineRule="exact"/>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6</w:t>
            </w:r>
            <w:r>
              <w:rPr>
                <w:rFonts w:hint="default" w:ascii="Times New Roman" w:hAnsi="Times New Roman" w:eastAsia="仿宋" w:cs="Times New Roman"/>
                <w:color w:val="auto"/>
                <w:sz w:val="24"/>
              </w:rPr>
              <w:t>.在开标结束后，代理机构工作人员不及时整理现场，或者不及时离开开标区域</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影响开标区域管理的</w:t>
            </w:r>
          </w:p>
        </w:tc>
        <w:tc>
          <w:tcPr>
            <w:tcW w:w="763" w:type="dxa"/>
            <w:noWrap w:val="0"/>
            <w:vAlign w:val="center"/>
          </w:tcPr>
          <w:p w14:paraId="4E04D952">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750" w:type="dxa"/>
            <w:noWrap w:val="0"/>
            <w:vAlign w:val="center"/>
          </w:tcPr>
          <w:p w14:paraId="7F03DEF7">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5311E2D4">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1314B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26CD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 w:type="dxa"/>
            <w:vMerge w:val="continue"/>
            <w:tcBorders>
              <w:left w:val="single" w:color="auto" w:sz="4" w:space="0"/>
              <w:right w:val="single" w:color="auto" w:sz="4" w:space="0"/>
            </w:tcBorders>
            <w:noWrap w:val="0"/>
            <w:vAlign w:val="center"/>
          </w:tcPr>
          <w:p w14:paraId="2417E703">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5431D4AC">
            <w:pPr>
              <w:adjustRightInd w:val="0"/>
              <w:snapToGrid w:val="0"/>
              <w:spacing w:line="400" w:lineRule="exact"/>
              <w:jc w:val="both"/>
              <w:rPr>
                <w:rFonts w:hint="eastAsia"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7</w:t>
            </w:r>
            <w:r>
              <w:rPr>
                <w:rFonts w:hint="default" w:ascii="Times New Roman" w:hAnsi="Times New Roman" w:eastAsia="仿宋" w:cs="Times New Roman"/>
                <w:color w:val="auto"/>
                <w:sz w:val="24"/>
              </w:rPr>
              <w:t>.在评标过程中有影响评委公正评标的言行</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干预评标专家正常评标活动的</w:t>
            </w: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或</w:t>
            </w:r>
            <w:r>
              <w:rPr>
                <w:rFonts w:hint="default" w:ascii="Times New Roman" w:hAnsi="Times New Roman" w:eastAsia="仿宋" w:cs="Times New Roman"/>
                <w:color w:val="auto"/>
                <w:sz w:val="24"/>
              </w:rPr>
              <w:t>引导评标专家作出倾向或者排斥特定项目响应方的评标意见</w:t>
            </w:r>
            <w:r>
              <w:rPr>
                <w:rFonts w:hint="eastAsia" w:ascii="Times New Roman" w:hAnsi="Times New Roman" w:eastAsia="仿宋" w:cs="Times New Roman"/>
                <w:color w:val="auto"/>
                <w:sz w:val="24"/>
                <w:lang w:val="en-US" w:eastAsia="zh-CN"/>
              </w:rPr>
              <w:t>的</w:t>
            </w:r>
          </w:p>
        </w:tc>
        <w:tc>
          <w:tcPr>
            <w:tcW w:w="763" w:type="dxa"/>
            <w:noWrap w:val="0"/>
            <w:vAlign w:val="center"/>
          </w:tcPr>
          <w:p w14:paraId="73E798E9">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30</w:t>
            </w:r>
          </w:p>
        </w:tc>
        <w:tc>
          <w:tcPr>
            <w:tcW w:w="750" w:type="dxa"/>
            <w:noWrap w:val="0"/>
            <w:vAlign w:val="center"/>
          </w:tcPr>
          <w:p w14:paraId="66D37993">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21C763B1">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4BC9F92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6695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 w:type="dxa"/>
            <w:vMerge w:val="continue"/>
            <w:tcBorders>
              <w:left w:val="single" w:color="auto" w:sz="4" w:space="0"/>
              <w:right w:val="single" w:color="auto" w:sz="4" w:space="0"/>
            </w:tcBorders>
            <w:noWrap w:val="0"/>
            <w:vAlign w:val="center"/>
          </w:tcPr>
          <w:p w14:paraId="0FD58D2E">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6B6DD861">
            <w:pPr>
              <w:spacing w:line="400" w:lineRule="exact"/>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8</w:t>
            </w:r>
            <w:r>
              <w:rPr>
                <w:rFonts w:hint="default" w:ascii="Times New Roman" w:hAnsi="Times New Roman" w:eastAsia="仿宋" w:cs="Times New Roman"/>
                <w:color w:val="auto"/>
                <w:sz w:val="24"/>
              </w:rPr>
              <w:t>.代理机构工作人员没有履行保密义务导致评标信息泄密的</w:t>
            </w:r>
          </w:p>
        </w:tc>
        <w:tc>
          <w:tcPr>
            <w:tcW w:w="763" w:type="dxa"/>
            <w:noWrap w:val="0"/>
            <w:vAlign w:val="center"/>
          </w:tcPr>
          <w:p w14:paraId="1F805941">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30</w:t>
            </w:r>
          </w:p>
        </w:tc>
        <w:tc>
          <w:tcPr>
            <w:tcW w:w="750" w:type="dxa"/>
            <w:noWrap w:val="0"/>
            <w:vAlign w:val="center"/>
          </w:tcPr>
          <w:p w14:paraId="1D2DAF11">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09047913">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104CB8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1A5D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64" w:type="dxa"/>
            <w:vMerge w:val="continue"/>
            <w:tcBorders>
              <w:left w:val="single" w:color="auto" w:sz="4" w:space="0"/>
              <w:right w:val="single" w:color="auto" w:sz="4" w:space="0"/>
            </w:tcBorders>
            <w:noWrap w:val="0"/>
            <w:vAlign w:val="center"/>
          </w:tcPr>
          <w:p w14:paraId="009608AC">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49603FA5">
            <w:pPr>
              <w:spacing w:line="400" w:lineRule="exact"/>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9</w:t>
            </w:r>
            <w:r>
              <w:rPr>
                <w:rFonts w:hint="default" w:ascii="Times New Roman" w:hAnsi="Times New Roman" w:eastAsia="仿宋" w:cs="Times New Roman"/>
                <w:color w:val="auto"/>
                <w:sz w:val="24"/>
              </w:rPr>
              <w:t>.开评标期间</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代理机构工作人员服务态度生硬</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与</w:t>
            </w:r>
            <w:r>
              <w:rPr>
                <w:rFonts w:hint="eastAsia" w:ascii="Times New Roman" w:hAnsi="Times New Roman" w:eastAsia="仿宋" w:cs="Times New Roman"/>
                <w:color w:val="auto"/>
                <w:sz w:val="24"/>
                <w:lang w:eastAsia="zh-CN"/>
              </w:rPr>
              <w:t>项目响应方</w:t>
            </w:r>
            <w:r>
              <w:rPr>
                <w:rFonts w:hint="default" w:ascii="Times New Roman" w:hAnsi="Times New Roman" w:eastAsia="仿宋" w:cs="Times New Roman"/>
                <w:color w:val="auto"/>
                <w:sz w:val="24"/>
              </w:rPr>
              <w:t>或者评</w:t>
            </w:r>
            <w:r>
              <w:rPr>
                <w:rFonts w:hint="default" w:ascii="Times New Roman" w:hAnsi="Times New Roman" w:eastAsia="仿宋" w:cs="Times New Roman"/>
                <w:color w:val="auto"/>
                <w:sz w:val="24"/>
                <w:lang w:val="en-US" w:eastAsia="zh-CN"/>
              </w:rPr>
              <w:t>标</w:t>
            </w:r>
            <w:r>
              <w:rPr>
                <w:rFonts w:hint="default" w:ascii="Times New Roman" w:hAnsi="Times New Roman" w:eastAsia="仿宋" w:cs="Times New Roman"/>
                <w:color w:val="auto"/>
                <w:sz w:val="24"/>
              </w:rPr>
              <w:t>专家发生争吵</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造成不良影响的</w:t>
            </w:r>
          </w:p>
        </w:tc>
        <w:tc>
          <w:tcPr>
            <w:tcW w:w="763" w:type="dxa"/>
            <w:noWrap w:val="0"/>
            <w:vAlign w:val="center"/>
          </w:tcPr>
          <w:p w14:paraId="149E17BB">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w:t>
            </w:r>
          </w:p>
        </w:tc>
        <w:tc>
          <w:tcPr>
            <w:tcW w:w="750" w:type="dxa"/>
            <w:noWrap w:val="0"/>
            <w:vAlign w:val="center"/>
          </w:tcPr>
          <w:p w14:paraId="7B277BD6">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5D64EBCC">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4CD3E93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6D67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764" w:type="dxa"/>
            <w:vMerge w:val="continue"/>
            <w:tcBorders>
              <w:left w:val="single" w:color="auto" w:sz="4" w:space="0"/>
              <w:right w:val="single" w:color="auto" w:sz="4" w:space="0"/>
            </w:tcBorders>
            <w:noWrap w:val="0"/>
            <w:vAlign w:val="center"/>
          </w:tcPr>
          <w:p w14:paraId="5C6E7116">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3447681A">
            <w:pPr>
              <w:spacing w:line="400" w:lineRule="exact"/>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10</w:t>
            </w:r>
            <w:r>
              <w:rPr>
                <w:rFonts w:hint="default" w:ascii="Times New Roman" w:hAnsi="Times New Roman" w:eastAsia="仿宋" w:cs="Times New Roman"/>
                <w:color w:val="auto"/>
                <w:sz w:val="24"/>
              </w:rPr>
              <w:t>.代理机构工作人员不按要求留在招标代理工作间</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导致评标专家或监督人联系不到代理机构的</w:t>
            </w:r>
          </w:p>
        </w:tc>
        <w:tc>
          <w:tcPr>
            <w:tcW w:w="763" w:type="dxa"/>
            <w:noWrap w:val="0"/>
            <w:vAlign w:val="center"/>
          </w:tcPr>
          <w:p w14:paraId="7EBD81D6">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750" w:type="dxa"/>
            <w:noWrap w:val="0"/>
            <w:vAlign w:val="center"/>
          </w:tcPr>
          <w:p w14:paraId="203288E5">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3D3F4F4A">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17FCBE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28A4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64" w:type="dxa"/>
            <w:vMerge w:val="continue"/>
            <w:tcBorders>
              <w:left w:val="single" w:color="auto" w:sz="4" w:space="0"/>
              <w:right w:val="single" w:color="auto" w:sz="4" w:space="0"/>
            </w:tcBorders>
            <w:noWrap w:val="0"/>
            <w:vAlign w:val="center"/>
          </w:tcPr>
          <w:p w14:paraId="32339E3F">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61BF1DBB">
            <w:pPr>
              <w:adjustRightInd w:val="0"/>
              <w:snapToGrid w:val="0"/>
              <w:spacing w:line="400" w:lineRule="exact"/>
              <w:jc w:val="both"/>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11</w:t>
            </w:r>
            <w:r>
              <w:rPr>
                <w:rFonts w:hint="default" w:ascii="Times New Roman" w:hAnsi="Times New Roman" w:eastAsia="仿宋" w:cs="Times New Roman"/>
                <w:color w:val="auto"/>
                <w:sz w:val="24"/>
              </w:rPr>
              <w:t>.未按规定程序组织招标投标活动</w:t>
            </w:r>
            <w:r>
              <w:rPr>
                <w:rFonts w:hint="default" w:ascii="Times New Roman" w:hAnsi="Times New Roman" w:eastAsia="仿宋" w:cs="Times New Roman"/>
                <w:color w:val="auto"/>
                <w:sz w:val="24"/>
                <w:lang w:val="en-US" w:eastAsia="zh-CN"/>
              </w:rPr>
              <w:t>的</w:t>
            </w:r>
          </w:p>
        </w:tc>
        <w:tc>
          <w:tcPr>
            <w:tcW w:w="763" w:type="dxa"/>
            <w:noWrap w:val="0"/>
            <w:vAlign w:val="center"/>
          </w:tcPr>
          <w:p w14:paraId="42EEE887">
            <w:pPr>
              <w:adjustRightInd w:val="0"/>
              <w:snapToGrid w:val="0"/>
              <w:spacing w:line="36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11AF40DE">
            <w:pPr>
              <w:adjustRightInd w:val="0"/>
              <w:snapToGrid w:val="0"/>
              <w:spacing w:line="360" w:lineRule="auto"/>
              <w:jc w:val="center"/>
              <w:rPr>
                <w:rFonts w:hint="default" w:ascii="Times New Roman" w:hAnsi="Times New Roman" w:eastAsia="仿宋" w:cs="Times New Roman"/>
                <w:color w:val="auto"/>
                <w:sz w:val="24"/>
              </w:rPr>
            </w:pPr>
          </w:p>
        </w:tc>
        <w:tc>
          <w:tcPr>
            <w:tcW w:w="737" w:type="dxa"/>
            <w:noWrap w:val="0"/>
            <w:vAlign w:val="center"/>
          </w:tcPr>
          <w:p w14:paraId="25B86F70">
            <w:pPr>
              <w:adjustRightInd w:val="0"/>
              <w:snapToGrid w:val="0"/>
              <w:spacing w:line="360" w:lineRule="auto"/>
              <w:jc w:val="center"/>
              <w:rPr>
                <w:rFonts w:hint="default" w:ascii="Times New Roman" w:hAnsi="Times New Roman" w:eastAsia="仿宋" w:cs="Times New Roman"/>
                <w:color w:val="auto"/>
                <w:sz w:val="24"/>
              </w:rPr>
            </w:pPr>
          </w:p>
        </w:tc>
        <w:tc>
          <w:tcPr>
            <w:tcW w:w="905" w:type="dxa"/>
            <w:noWrap w:val="0"/>
            <w:vAlign w:val="center"/>
          </w:tcPr>
          <w:p w14:paraId="72A1565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4"/>
              </w:rPr>
            </w:pPr>
          </w:p>
        </w:tc>
      </w:tr>
      <w:tr w14:paraId="1C42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64" w:type="dxa"/>
            <w:vMerge w:val="restart"/>
            <w:noWrap w:val="0"/>
            <w:vAlign w:val="center"/>
          </w:tcPr>
          <w:p w14:paraId="0B70CE16">
            <w:pPr>
              <w:adjustRightInd w:val="0"/>
              <w:snapToGrid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黑体" w:cs="Times New Roman"/>
                <w:color w:val="auto"/>
                <w:sz w:val="24"/>
              </w:rPr>
              <w:t>开评标规范</w:t>
            </w:r>
          </w:p>
        </w:tc>
        <w:tc>
          <w:tcPr>
            <w:tcW w:w="5428" w:type="dxa"/>
            <w:noWrap w:val="0"/>
            <w:vAlign w:val="center"/>
          </w:tcPr>
          <w:p w14:paraId="506D747E">
            <w:pPr>
              <w:adjustRightInd w:val="0"/>
              <w:snapToGrid w:val="0"/>
              <w:spacing w:line="400" w:lineRule="exact"/>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12</w:t>
            </w:r>
            <w:r>
              <w:rPr>
                <w:rFonts w:hint="default" w:ascii="Times New Roman" w:hAnsi="Times New Roman" w:eastAsia="仿宋" w:cs="Times New Roman"/>
                <w:color w:val="auto"/>
                <w:sz w:val="24"/>
              </w:rPr>
              <w:t>.未按规定及时提交专家抽取申请</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或者申请中未明确回避条件</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影响评标工作正常开展的</w:t>
            </w:r>
          </w:p>
        </w:tc>
        <w:tc>
          <w:tcPr>
            <w:tcW w:w="763" w:type="dxa"/>
            <w:noWrap w:val="0"/>
            <w:vAlign w:val="center"/>
          </w:tcPr>
          <w:p w14:paraId="19232308">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580D5C30">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73E4353D">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4F8D351E">
            <w:pPr>
              <w:adjustRightInd w:val="0"/>
              <w:snapToGrid w:val="0"/>
              <w:spacing w:line="400" w:lineRule="exact"/>
              <w:jc w:val="left"/>
              <w:rPr>
                <w:rFonts w:hint="default" w:ascii="Times New Roman" w:hAnsi="Times New Roman" w:eastAsia="仿宋" w:cs="Times New Roman"/>
                <w:color w:val="auto"/>
                <w:sz w:val="24"/>
              </w:rPr>
            </w:pPr>
          </w:p>
        </w:tc>
      </w:tr>
      <w:tr w14:paraId="264E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764" w:type="dxa"/>
            <w:vMerge w:val="continue"/>
            <w:noWrap w:val="0"/>
            <w:vAlign w:val="center"/>
          </w:tcPr>
          <w:p w14:paraId="0EA6C50B">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7BAE6CE8">
            <w:pPr>
              <w:adjustRightInd w:val="0"/>
              <w:snapToGrid w:val="0"/>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w:t>
            </w:r>
            <w:r>
              <w:rPr>
                <w:rFonts w:hint="eastAsia" w:ascii="Times New Roman" w:hAnsi="Times New Roman" w:eastAsia="仿宋" w:cs="Times New Roman"/>
                <w:color w:val="auto"/>
                <w:sz w:val="24"/>
                <w:lang w:val="en-US" w:eastAsia="zh-CN"/>
              </w:rPr>
              <w:t>3</w:t>
            </w:r>
            <w:r>
              <w:rPr>
                <w:rFonts w:hint="default" w:ascii="Times New Roman" w:hAnsi="Times New Roman" w:eastAsia="仿宋" w:cs="Times New Roman"/>
                <w:color w:val="auto"/>
                <w:sz w:val="24"/>
              </w:rPr>
              <w:t>.代理机构工作人员未能按照招标文件约定的时间提前至少15分钟到达开标现场</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highlight w:val="none"/>
              </w:rPr>
              <w:t>影响评标工作正常开展的</w:t>
            </w:r>
          </w:p>
        </w:tc>
        <w:tc>
          <w:tcPr>
            <w:tcW w:w="763" w:type="dxa"/>
            <w:noWrap w:val="0"/>
            <w:vAlign w:val="center"/>
          </w:tcPr>
          <w:p w14:paraId="73E64DAD">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3F765036">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4B2AA54B">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0869BA75">
            <w:pPr>
              <w:adjustRightInd w:val="0"/>
              <w:snapToGrid w:val="0"/>
              <w:spacing w:line="400" w:lineRule="exact"/>
              <w:jc w:val="left"/>
              <w:rPr>
                <w:rFonts w:hint="default" w:ascii="Times New Roman" w:hAnsi="Times New Roman" w:eastAsia="仿宋" w:cs="Times New Roman"/>
                <w:color w:val="auto"/>
                <w:sz w:val="24"/>
              </w:rPr>
            </w:pPr>
          </w:p>
        </w:tc>
      </w:tr>
      <w:tr w14:paraId="6DC3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764" w:type="dxa"/>
            <w:vMerge w:val="continue"/>
            <w:noWrap w:val="0"/>
            <w:vAlign w:val="center"/>
          </w:tcPr>
          <w:p w14:paraId="0F88E566">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43623A97">
            <w:pPr>
              <w:adjustRightInd w:val="0"/>
              <w:snapToGrid w:val="0"/>
              <w:spacing w:line="400" w:lineRule="exact"/>
              <w:jc w:val="both"/>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1</w:t>
            </w:r>
            <w:r>
              <w:rPr>
                <w:rFonts w:hint="eastAsia" w:ascii="Times New Roman" w:hAnsi="Times New Roman" w:eastAsia="仿宋" w:cs="Times New Roman"/>
                <w:color w:val="auto"/>
                <w:sz w:val="24"/>
                <w:lang w:val="en-US" w:eastAsia="zh-CN"/>
              </w:rPr>
              <w:t>4</w:t>
            </w:r>
            <w:r>
              <w:rPr>
                <w:rFonts w:hint="default" w:ascii="Times New Roman" w:hAnsi="Times New Roman" w:eastAsia="仿宋" w:cs="Times New Roman"/>
                <w:color w:val="auto"/>
                <w:sz w:val="24"/>
              </w:rPr>
              <w:t>.未按规定预约开评标场地</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有预先抢占开评标场地而未安排开评标的</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项目开评标取消未及时释放开评标场地资源</w:t>
            </w:r>
            <w:r>
              <w:rPr>
                <w:rFonts w:hint="default" w:ascii="Times New Roman" w:hAnsi="Times New Roman" w:eastAsia="仿宋" w:cs="Times New Roman"/>
                <w:color w:val="auto"/>
                <w:sz w:val="24"/>
                <w:lang w:val="en-US" w:eastAsia="zh-CN"/>
              </w:rPr>
              <w:t>的</w:t>
            </w:r>
          </w:p>
        </w:tc>
        <w:tc>
          <w:tcPr>
            <w:tcW w:w="763" w:type="dxa"/>
            <w:noWrap w:val="0"/>
            <w:vAlign w:val="center"/>
          </w:tcPr>
          <w:p w14:paraId="3CDEA436">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750" w:type="dxa"/>
            <w:noWrap w:val="0"/>
            <w:vAlign w:val="center"/>
          </w:tcPr>
          <w:p w14:paraId="52003C64">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2A192534">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6BE6FDED">
            <w:pPr>
              <w:adjustRightInd w:val="0"/>
              <w:snapToGrid w:val="0"/>
              <w:spacing w:line="400" w:lineRule="exact"/>
              <w:jc w:val="left"/>
              <w:rPr>
                <w:rFonts w:hint="default" w:ascii="Times New Roman" w:hAnsi="Times New Roman" w:eastAsia="仿宋" w:cs="Times New Roman"/>
                <w:color w:val="auto"/>
                <w:sz w:val="24"/>
              </w:rPr>
            </w:pPr>
          </w:p>
        </w:tc>
      </w:tr>
      <w:tr w14:paraId="3CE6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64" w:type="dxa"/>
            <w:vMerge w:val="continue"/>
            <w:noWrap w:val="0"/>
            <w:vAlign w:val="center"/>
          </w:tcPr>
          <w:p w14:paraId="5FF2597E">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448A59B4">
            <w:pPr>
              <w:adjustRightInd w:val="0"/>
              <w:snapToGrid w:val="0"/>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w:t>
            </w:r>
            <w:r>
              <w:rPr>
                <w:rFonts w:hint="eastAsia" w:ascii="Times New Roman" w:hAnsi="Times New Roman" w:eastAsia="仿宋" w:cs="Times New Roman"/>
                <w:color w:val="auto"/>
                <w:sz w:val="24"/>
                <w:lang w:val="en-US" w:eastAsia="zh-CN"/>
              </w:rPr>
              <w:t>5</w:t>
            </w:r>
            <w:r>
              <w:rPr>
                <w:rFonts w:hint="default" w:ascii="Times New Roman" w:hAnsi="Times New Roman" w:eastAsia="仿宋" w:cs="Times New Roman"/>
                <w:color w:val="auto"/>
                <w:sz w:val="24"/>
              </w:rPr>
              <w:t>.代理机构工作人员开评标工作期间串岗聊天、做与开评标工作无关事情的</w:t>
            </w:r>
          </w:p>
        </w:tc>
        <w:tc>
          <w:tcPr>
            <w:tcW w:w="763" w:type="dxa"/>
            <w:noWrap w:val="0"/>
            <w:vAlign w:val="center"/>
          </w:tcPr>
          <w:p w14:paraId="560BB2E2">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750" w:type="dxa"/>
            <w:noWrap w:val="0"/>
            <w:vAlign w:val="center"/>
          </w:tcPr>
          <w:p w14:paraId="26526431">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39A7D75D">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16636ACA">
            <w:pPr>
              <w:adjustRightInd w:val="0"/>
              <w:snapToGrid w:val="0"/>
              <w:spacing w:line="400" w:lineRule="exact"/>
              <w:jc w:val="left"/>
              <w:rPr>
                <w:rFonts w:hint="default" w:ascii="Times New Roman" w:hAnsi="Times New Roman" w:eastAsia="仿宋" w:cs="Times New Roman"/>
                <w:color w:val="auto"/>
                <w:sz w:val="24"/>
              </w:rPr>
            </w:pPr>
          </w:p>
        </w:tc>
      </w:tr>
      <w:tr w14:paraId="1B3A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64" w:type="dxa"/>
            <w:vMerge w:val="continue"/>
            <w:noWrap w:val="0"/>
            <w:vAlign w:val="center"/>
          </w:tcPr>
          <w:p w14:paraId="4A6E42E8">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7120A078">
            <w:pPr>
              <w:adjustRightInd w:val="0"/>
              <w:snapToGrid w:val="0"/>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w:t>
            </w:r>
            <w:r>
              <w:rPr>
                <w:rFonts w:hint="eastAsia" w:ascii="Times New Roman" w:hAnsi="Times New Roman" w:eastAsia="仿宋" w:cs="Times New Roman"/>
                <w:color w:val="auto"/>
                <w:sz w:val="24"/>
                <w:lang w:val="en-US" w:eastAsia="zh-CN"/>
              </w:rPr>
              <w:t>6</w:t>
            </w:r>
            <w:r>
              <w:rPr>
                <w:rFonts w:hint="default" w:ascii="Times New Roman" w:hAnsi="Times New Roman" w:eastAsia="仿宋" w:cs="Times New Roman"/>
                <w:color w:val="auto"/>
                <w:sz w:val="24"/>
              </w:rPr>
              <w:t>.招标文件存在差错、歧义或前后不一致，导致项目废标或评</w:t>
            </w:r>
            <w:r>
              <w:rPr>
                <w:rFonts w:hint="default" w:ascii="Times New Roman" w:hAnsi="Times New Roman" w:eastAsia="仿宋" w:cs="Times New Roman"/>
                <w:color w:val="auto"/>
                <w:sz w:val="24"/>
                <w:lang w:val="en-US" w:eastAsia="zh-CN"/>
              </w:rPr>
              <w:t>标</w:t>
            </w:r>
            <w:r>
              <w:rPr>
                <w:rFonts w:hint="default" w:ascii="Times New Roman" w:hAnsi="Times New Roman" w:eastAsia="仿宋" w:cs="Times New Roman"/>
                <w:color w:val="auto"/>
                <w:sz w:val="24"/>
              </w:rPr>
              <w:t>工作不能正常开展的</w:t>
            </w:r>
          </w:p>
        </w:tc>
        <w:tc>
          <w:tcPr>
            <w:tcW w:w="763" w:type="dxa"/>
            <w:noWrap w:val="0"/>
            <w:vAlign w:val="center"/>
          </w:tcPr>
          <w:p w14:paraId="7F4DE415">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30</w:t>
            </w:r>
          </w:p>
        </w:tc>
        <w:tc>
          <w:tcPr>
            <w:tcW w:w="750" w:type="dxa"/>
            <w:noWrap w:val="0"/>
            <w:vAlign w:val="center"/>
          </w:tcPr>
          <w:p w14:paraId="31240CAC">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387BC7E1">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1823664A">
            <w:pPr>
              <w:adjustRightInd w:val="0"/>
              <w:snapToGrid w:val="0"/>
              <w:spacing w:line="400" w:lineRule="exact"/>
              <w:jc w:val="left"/>
              <w:rPr>
                <w:rFonts w:hint="default" w:ascii="Times New Roman" w:hAnsi="Times New Roman" w:eastAsia="仿宋" w:cs="Times New Roman"/>
                <w:color w:val="auto"/>
                <w:sz w:val="24"/>
              </w:rPr>
            </w:pPr>
          </w:p>
        </w:tc>
      </w:tr>
      <w:tr w14:paraId="7D3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64" w:type="dxa"/>
            <w:vMerge w:val="continue"/>
            <w:noWrap w:val="0"/>
            <w:vAlign w:val="center"/>
          </w:tcPr>
          <w:p w14:paraId="1454B7C3">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4208207D">
            <w:pPr>
              <w:adjustRightInd w:val="0"/>
              <w:snapToGrid w:val="0"/>
              <w:spacing w:line="400" w:lineRule="exact"/>
              <w:jc w:val="both"/>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17</w:t>
            </w:r>
            <w:r>
              <w:rPr>
                <w:rFonts w:hint="default" w:ascii="Times New Roman" w:hAnsi="Times New Roman" w:eastAsia="仿宋" w:cs="Times New Roman"/>
                <w:color w:val="auto"/>
                <w:sz w:val="24"/>
              </w:rPr>
              <w:t>.未能按照规范发放评标费或者规定方式发放评标费用</w:t>
            </w:r>
            <w:r>
              <w:rPr>
                <w:rFonts w:hint="default" w:ascii="Times New Roman" w:hAnsi="Times New Roman" w:eastAsia="仿宋" w:cs="Times New Roman"/>
                <w:color w:val="auto"/>
                <w:sz w:val="24"/>
                <w:lang w:val="en-US" w:eastAsia="zh-CN"/>
              </w:rPr>
              <w:t>的</w:t>
            </w:r>
          </w:p>
        </w:tc>
        <w:tc>
          <w:tcPr>
            <w:tcW w:w="763" w:type="dxa"/>
            <w:noWrap w:val="0"/>
            <w:vAlign w:val="center"/>
          </w:tcPr>
          <w:p w14:paraId="7A90398B">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w:t>
            </w:r>
          </w:p>
        </w:tc>
        <w:tc>
          <w:tcPr>
            <w:tcW w:w="750" w:type="dxa"/>
            <w:noWrap w:val="0"/>
            <w:vAlign w:val="center"/>
          </w:tcPr>
          <w:p w14:paraId="704401D8">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6D0AF94B">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4D3BD68B">
            <w:pPr>
              <w:adjustRightInd w:val="0"/>
              <w:snapToGrid w:val="0"/>
              <w:spacing w:line="400" w:lineRule="exact"/>
              <w:jc w:val="left"/>
              <w:rPr>
                <w:rFonts w:hint="default" w:ascii="Times New Roman" w:hAnsi="Times New Roman" w:eastAsia="仿宋" w:cs="Times New Roman"/>
                <w:color w:val="auto"/>
                <w:sz w:val="24"/>
              </w:rPr>
            </w:pPr>
          </w:p>
        </w:tc>
      </w:tr>
      <w:tr w14:paraId="7481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64" w:type="dxa"/>
            <w:vMerge w:val="continue"/>
            <w:noWrap w:val="0"/>
            <w:vAlign w:val="center"/>
          </w:tcPr>
          <w:p w14:paraId="45A12C4F">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6020CCC0">
            <w:pPr>
              <w:tabs>
                <w:tab w:val="left" w:pos="1679"/>
              </w:tabs>
              <w:adjustRightInd w:val="0"/>
              <w:snapToGrid w:val="0"/>
              <w:spacing w:line="400" w:lineRule="exact"/>
              <w:jc w:val="both"/>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val="en-US" w:eastAsia="zh-CN"/>
              </w:rPr>
              <w:t>18.</w:t>
            </w:r>
            <w:r>
              <w:rPr>
                <w:rFonts w:hint="eastAsia" w:ascii="Times New Roman" w:hAnsi="Times New Roman" w:eastAsia="仿宋" w:cs="Times New Roman"/>
                <w:color w:val="auto"/>
                <w:sz w:val="24"/>
                <w:lang w:eastAsia="zh-CN"/>
              </w:rPr>
              <w:t>代替评委评分的</w:t>
            </w:r>
          </w:p>
        </w:tc>
        <w:tc>
          <w:tcPr>
            <w:tcW w:w="763" w:type="dxa"/>
            <w:noWrap w:val="0"/>
            <w:vAlign w:val="center"/>
          </w:tcPr>
          <w:p w14:paraId="102E05BA">
            <w:pPr>
              <w:adjustRightInd w:val="0"/>
              <w:snapToGrid w:val="0"/>
              <w:spacing w:line="400" w:lineRule="exact"/>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30</w:t>
            </w:r>
          </w:p>
        </w:tc>
        <w:tc>
          <w:tcPr>
            <w:tcW w:w="750" w:type="dxa"/>
            <w:noWrap w:val="0"/>
            <w:vAlign w:val="center"/>
          </w:tcPr>
          <w:p w14:paraId="5B74FA81">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53F0AE28">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7E1445B6">
            <w:pPr>
              <w:adjustRightInd w:val="0"/>
              <w:snapToGrid w:val="0"/>
              <w:spacing w:line="400" w:lineRule="exact"/>
              <w:jc w:val="left"/>
              <w:rPr>
                <w:rFonts w:hint="default" w:ascii="Times New Roman" w:hAnsi="Times New Roman" w:eastAsia="仿宋" w:cs="Times New Roman"/>
                <w:color w:val="auto"/>
                <w:sz w:val="24"/>
              </w:rPr>
            </w:pPr>
          </w:p>
        </w:tc>
      </w:tr>
      <w:tr w14:paraId="1514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64" w:type="dxa"/>
            <w:vMerge w:val="continue"/>
            <w:noWrap w:val="0"/>
            <w:vAlign w:val="center"/>
          </w:tcPr>
          <w:p w14:paraId="6CCBA9E6">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352F10CE">
            <w:pPr>
              <w:adjustRightInd w:val="0"/>
              <w:snapToGrid w:val="0"/>
              <w:spacing w:line="400" w:lineRule="exact"/>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19</w:t>
            </w:r>
            <w:r>
              <w:rPr>
                <w:rFonts w:hint="default" w:ascii="Times New Roman" w:hAnsi="Times New Roman" w:eastAsia="仿宋" w:cs="Times New Roman"/>
                <w:color w:val="auto"/>
                <w:sz w:val="24"/>
              </w:rPr>
              <w:t>.未按交易</w:t>
            </w:r>
            <w:r>
              <w:rPr>
                <w:rFonts w:hint="default" w:ascii="Times New Roman" w:hAnsi="Times New Roman" w:eastAsia="仿宋" w:cs="Times New Roman"/>
                <w:color w:val="auto"/>
                <w:sz w:val="24"/>
                <w:lang w:val="en-US" w:eastAsia="zh-CN"/>
              </w:rPr>
              <w:t>机构</w:t>
            </w:r>
            <w:r>
              <w:rPr>
                <w:rFonts w:hint="default" w:ascii="Times New Roman" w:hAnsi="Times New Roman" w:eastAsia="仿宋" w:cs="Times New Roman"/>
                <w:color w:val="auto"/>
                <w:sz w:val="24"/>
              </w:rPr>
              <w:t>要求寄存通讯设备进入评标现场的</w:t>
            </w:r>
          </w:p>
        </w:tc>
        <w:tc>
          <w:tcPr>
            <w:tcW w:w="763" w:type="dxa"/>
            <w:noWrap w:val="0"/>
            <w:vAlign w:val="center"/>
          </w:tcPr>
          <w:p w14:paraId="4D44F050">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1EDA8E66">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047312FE">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1160A46E">
            <w:pPr>
              <w:adjustRightInd w:val="0"/>
              <w:snapToGrid w:val="0"/>
              <w:spacing w:line="400" w:lineRule="exact"/>
              <w:jc w:val="left"/>
              <w:rPr>
                <w:rFonts w:hint="default" w:ascii="Times New Roman" w:hAnsi="Times New Roman" w:eastAsia="仿宋" w:cs="Times New Roman"/>
                <w:color w:val="auto"/>
                <w:sz w:val="24"/>
              </w:rPr>
            </w:pPr>
          </w:p>
        </w:tc>
      </w:tr>
      <w:tr w14:paraId="30F0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64" w:type="dxa"/>
            <w:vMerge w:val="continue"/>
            <w:noWrap w:val="0"/>
            <w:vAlign w:val="center"/>
          </w:tcPr>
          <w:p w14:paraId="793A5F21">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02600AA5">
            <w:pPr>
              <w:adjustRightInd w:val="0"/>
              <w:snapToGrid w:val="0"/>
              <w:spacing w:line="400" w:lineRule="exact"/>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20</w:t>
            </w:r>
            <w:r>
              <w:rPr>
                <w:rFonts w:hint="default" w:ascii="Times New Roman" w:hAnsi="Times New Roman" w:eastAsia="仿宋" w:cs="Times New Roman"/>
                <w:color w:val="auto"/>
                <w:sz w:val="24"/>
              </w:rPr>
              <w:t>.代理机构人员未</w:t>
            </w:r>
            <w:r>
              <w:rPr>
                <w:rFonts w:hint="default" w:ascii="Times New Roman" w:hAnsi="Times New Roman" w:eastAsia="仿宋" w:cs="Times New Roman"/>
                <w:color w:val="auto"/>
                <w:sz w:val="24"/>
                <w:highlight w:val="none"/>
              </w:rPr>
              <w:t>按交易</w:t>
            </w:r>
            <w:r>
              <w:rPr>
                <w:rFonts w:hint="eastAsia" w:ascii="Times New Roman" w:hAnsi="Times New Roman" w:eastAsia="仿宋" w:cs="Times New Roman"/>
                <w:color w:val="auto"/>
                <w:sz w:val="24"/>
                <w:highlight w:val="none"/>
                <w:lang w:val="en-US" w:eastAsia="zh-CN"/>
              </w:rPr>
              <w:t>机构</w:t>
            </w:r>
            <w:r>
              <w:rPr>
                <w:rFonts w:hint="default" w:ascii="Times New Roman" w:hAnsi="Times New Roman" w:eastAsia="仿宋" w:cs="Times New Roman"/>
                <w:color w:val="auto"/>
                <w:sz w:val="24"/>
                <w:highlight w:val="none"/>
              </w:rPr>
              <w:t>规</w:t>
            </w:r>
            <w:r>
              <w:rPr>
                <w:rFonts w:hint="default" w:ascii="Times New Roman" w:hAnsi="Times New Roman" w:eastAsia="仿宋" w:cs="Times New Roman"/>
                <w:color w:val="auto"/>
                <w:sz w:val="24"/>
              </w:rPr>
              <w:t>定统一着装</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佩戴工作牌</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无正常理由随意进出评审区域</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且不服从交易机构工作人员劝阻的</w:t>
            </w:r>
          </w:p>
        </w:tc>
        <w:tc>
          <w:tcPr>
            <w:tcW w:w="763" w:type="dxa"/>
            <w:noWrap w:val="0"/>
            <w:vAlign w:val="center"/>
          </w:tcPr>
          <w:p w14:paraId="275E3069">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35998871">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3D85D065">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4D5CAE12">
            <w:pPr>
              <w:adjustRightInd w:val="0"/>
              <w:snapToGrid w:val="0"/>
              <w:spacing w:line="400" w:lineRule="exact"/>
              <w:jc w:val="left"/>
              <w:rPr>
                <w:rFonts w:hint="default" w:ascii="Times New Roman" w:hAnsi="Times New Roman" w:eastAsia="仿宋" w:cs="Times New Roman"/>
                <w:color w:val="auto"/>
                <w:sz w:val="24"/>
              </w:rPr>
            </w:pPr>
          </w:p>
        </w:tc>
      </w:tr>
      <w:tr w14:paraId="2A67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64" w:type="dxa"/>
            <w:vMerge w:val="continue"/>
            <w:noWrap w:val="0"/>
            <w:vAlign w:val="center"/>
          </w:tcPr>
          <w:p w14:paraId="1D24E51D">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1558715E">
            <w:pPr>
              <w:adjustRightInd w:val="0"/>
              <w:snapToGrid w:val="0"/>
              <w:spacing w:line="400" w:lineRule="exact"/>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21</w:t>
            </w:r>
            <w:r>
              <w:rPr>
                <w:rFonts w:hint="default" w:ascii="Times New Roman" w:hAnsi="Times New Roman" w:eastAsia="仿宋" w:cs="Times New Roman"/>
                <w:color w:val="auto"/>
                <w:sz w:val="24"/>
              </w:rPr>
              <w:t>.评标过程中出现评标办法与评标表格不匹配或其他情况，导致评标工作无法正常进行的</w:t>
            </w:r>
          </w:p>
        </w:tc>
        <w:tc>
          <w:tcPr>
            <w:tcW w:w="763" w:type="dxa"/>
            <w:noWrap w:val="0"/>
            <w:vAlign w:val="center"/>
          </w:tcPr>
          <w:p w14:paraId="3FDDC8B4">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45AB87A2">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7A598AF4">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7560AACD">
            <w:pPr>
              <w:adjustRightInd w:val="0"/>
              <w:snapToGrid w:val="0"/>
              <w:spacing w:line="400" w:lineRule="exact"/>
              <w:jc w:val="left"/>
              <w:rPr>
                <w:rFonts w:hint="default" w:ascii="Times New Roman" w:hAnsi="Times New Roman" w:eastAsia="仿宋" w:cs="Times New Roman"/>
                <w:color w:val="auto"/>
                <w:sz w:val="24"/>
              </w:rPr>
            </w:pPr>
          </w:p>
        </w:tc>
      </w:tr>
      <w:tr w14:paraId="4A3E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trPr>
        <w:tc>
          <w:tcPr>
            <w:tcW w:w="764" w:type="dxa"/>
            <w:vMerge w:val="continue"/>
            <w:noWrap w:val="0"/>
            <w:vAlign w:val="center"/>
          </w:tcPr>
          <w:p w14:paraId="75C08C4D">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165EB69C">
            <w:pPr>
              <w:adjustRightInd w:val="0"/>
              <w:snapToGrid w:val="0"/>
              <w:spacing w:line="400" w:lineRule="exact"/>
              <w:jc w:val="both"/>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22</w:t>
            </w:r>
            <w:r>
              <w:rPr>
                <w:rFonts w:hint="default" w:ascii="Times New Roman" w:hAnsi="Times New Roman" w:eastAsia="仿宋" w:cs="Times New Roman"/>
                <w:color w:val="auto"/>
                <w:sz w:val="24"/>
              </w:rPr>
              <w:t>.交易系统数据录入错误导致开标记录、评审数据统计出现错误或评审工作不能正常开展的</w:t>
            </w:r>
          </w:p>
        </w:tc>
        <w:tc>
          <w:tcPr>
            <w:tcW w:w="763" w:type="dxa"/>
            <w:noWrap w:val="0"/>
            <w:vAlign w:val="center"/>
          </w:tcPr>
          <w:p w14:paraId="67D91EB9">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79F7162C">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79C12664">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45B206B2">
            <w:pPr>
              <w:adjustRightInd w:val="0"/>
              <w:snapToGrid w:val="0"/>
              <w:spacing w:line="400" w:lineRule="exact"/>
              <w:jc w:val="left"/>
              <w:rPr>
                <w:rFonts w:hint="default" w:ascii="Times New Roman" w:hAnsi="Times New Roman" w:eastAsia="仿宋" w:cs="Times New Roman"/>
                <w:color w:val="auto"/>
                <w:sz w:val="24"/>
              </w:rPr>
            </w:pPr>
          </w:p>
        </w:tc>
      </w:tr>
      <w:tr w14:paraId="292A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64" w:type="dxa"/>
            <w:vMerge w:val="continue"/>
            <w:noWrap w:val="0"/>
            <w:vAlign w:val="center"/>
          </w:tcPr>
          <w:p w14:paraId="6E7AFF8A">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22851390">
            <w:pPr>
              <w:adjustRightInd w:val="0"/>
              <w:snapToGrid w:val="0"/>
              <w:spacing w:line="400" w:lineRule="exact"/>
              <w:jc w:val="both"/>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23</w:t>
            </w:r>
            <w:r>
              <w:rPr>
                <w:rFonts w:hint="default" w:ascii="Times New Roman" w:hAnsi="Times New Roman" w:eastAsia="仿宋" w:cs="Times New Roman"/>
                <w:color w:val="auto"/>
                <w:sz w:val="24"/>
              </w:rPr>
              <w:t>.评标结束后未</w:t>
            </w:r>
            <w:r>
              <w:rPr>
                <w:rFonts w:hint="default" w:ascii="Times New Roman" w:hAnsi="Times New Roman" w:eastAsia="仿宋" w:cs="Times New Roman"/>
                <w:color w:val="auto"/>
                <w:sz w:val="24"/>
                <w:lang w:val="en-US" w:eastAsia="zh-CN"/>
              </w:rPr>
              <w:t>按规定</w:t>
            </w:r>
            <w:r>
              <w:rPr>
                <w:rFonts w:hint="default" w:ascii="Times New Roman" w:hAnsi="Times New Roman" w:eastAsia="仿宋" w:cs="Times New Roman"/>
                <w:color w:val="auto"/>
                <w:sz w:val="24"/>
              </w:rPr>
              <w:t>提供</w:t>
            </w: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报送</w:t>
            </w:r>
            <w:r>
              <w:rPr>
                <w:rFonts w:hint="default" w:ascii="Times New Roman" w:hAnsi="Times New Roman" w:eastAsia="仿宋" w:cs="Times New Roman"/>
                <w:color w:val="auto"/>
                <w:sz w:val="24"/>
              </w:rPr>
              <w:t>相关表格</w:t>
            </w:r>
            <w:r>
              <w:rPr>
                <w:rFonts w:hint="default" w:ascii="Times New Roman" w:hAnsi="Times New Roman" w:eastAsia="仿宋" w:cs="Times New Roman"/>
                <w:color w:val="auto"/>
                <w:sz w:val="24"/>
                <w:lang w:val="en-US" w:eastAsia="zh-CN"/>
              </w:rPr>
              <w:t>资料的</w:t>
            </w:r>
          </w:p>
        </w:tc>
        <w:tc>
          <w:tcPr>
            <w:tcW w:w="763" w:type="dxa"/>
            <w:noWrap w:val="0"/>
            <w:vAlign w:val="center"/>
          </w:tcPr>
          <w:p w14:paraId="74D2087D">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w:t>
            </w:r>
          </w:p>
        </w:tc>
        <w:tc>
          <w:tcPr>
            <w:tcW w:w="750" w:type="dxa"/>
            <w:noWrap w:val="0"/>
            <w:vAlign w:val="center"/>
          </w:tcPr>
          <w:p w14:paraId="2DCD63E3">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576162EB">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47C039AA">
            <w:pPr>
              <w:adjustRightInd w:val="0"/>
              <w:snapToGrid w:val="0"/>
              <w:spacing w:line="400" w:lineRule="exact"/>
              <w:jc w:val="left"/>
              <w:rPr>
                <w:rFonts w:hint="default" w:ascii="Times New Roman" w:hAnsi="Times New Roman" w:eastAsia="仿宋" w:cs="Times New Roman"/>
                <w:color w:val="auto"/>
                <w:sz w:val="24"/>
              </w:rPr>
            </w:pPr>
          </w:p>
        </w:tc>
      </w:tr>
      <w:tr w14:paraId="62F1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64" w:type="dxa"/>
            <w:vMerge w:val="restart"/>
            <w:tcBorders>
              <w:top w:val="single" w:color="auto" w:sz="4" w:space="0"/>
              <w:left w:val="single" w:color="auto" w:sz="4" w:space="0"/>
              <w:right w:val="single" w:color="auto" w:sz="4" w:space="0"/>
            </w:tcBorders>
            <w:noWrap w:val="0"/>
            <w:vAlign w:val="center"/>
          </w:tcPr>
          <w:p w14:paraId="0E817F5B">
            <w:pPr>
              <w:adjustRightInd w:val="0"/>
              <w:snapToGrid w:val="0"/>
              <w:spacing w:line="360" w:lineRule="auto"/>
              <w:jc w:val="center"/>
              <w:rPr>
                <w:rFonts w:hint="default" w:ascii="Times New Roman" w:hAnsi="Times New Roman" w:eastAsia="仿宋_GB2312" w:cs="Times New Roman"/>
                <w:color w:val="auto"/>
                <w:sz w:val="24"/>
              </w:rPr>
            </w:pPr>
            <w:r>
              <w:rPr>
                <w:rFonts w:hint="default" w:ascii="Times New Roman" w:hAnsi="Times New Roman" w:eastAsia="黑体" w:cs="Times New Roman"/>
                <w:color w:val="auto"/>
                <w:sz w:val="24"/>
              </w:rPr>
              <w:t>服务规范</w:t>
            </w:r>
          </w:p>
        </w:tc>
        <w:tc>
          <w:tcPr>
            <w:tcW w:w="5428" w:type="dxa"/>
            <w:noWrap w:val="0"/>
            <w:vAlign w:val="center"/>
          </w:tcPr>
          <w:p w14:paraId="25E079B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1.评标过程中发现违法违规行为，代理机构未及时向</w:t>
            </w:r>
            <w:r>
              <w:rPr>
                <w:rFonts w:hint="default" w:ascii="Times New Roman" w:hAnsi="Times New Roman" w:eastAsia="仿宋" w:cs="Times New Roman"/>
                <w:color w:val="auto"/>
                <w:sz w:val="24"/>
                <w:lang w:eastAsia="zh-CN"/>
              </w:rPr>
              <w:t>行业</w:t>
            </w:r>
            <w:r>
              <w:rPr>
                <w:rFonts w:hint="eastAsia" w:ascii="Times New Roman" w:hAnsi="Times New Roman" w:eastAsia="仿宋" w:cs="Times New Roman"/>
                <w:color w:val="auto"/>
                <w:sz w:val="24"/>
                <w:lang w:eastAsia="zh-CN"/>
              </w:rPr>
              <w:t>监督管理</w:t>
            </w:r>
            <w:r>
              <w:rPr>
                <w:rFonts w:hint="default" w:ascii="Times New Roman" w:hAnsi="Times New Roman" w:eastAsia="仿宋" w:cs="Times New Roman"/>
                <w:color w:val="auto"/>
                <w:sz w:val="24"/>
                <w:lang w:eastAsia="zh-CN"/>
              </w:rPr>
              <w:t>部门</w:t>
            </w:r>
            <w:r>
              <w:rPr>
                <w:rFonts w:hint="default" w:ascii="Times New Roman" w:hAnsi="Times New Roman" w:eastAsia="仿宋" w:cs="Times New Roman"/>
                <w:color w:val="auto"/>
                <w:sz w:val="24"/>
              </w:rPr>
              <w:t>反映的</w:t>
            </w:r>
          </w:p>
        </w:tc>
        <w:tc>
          <w:tcPr>
            <w:tcW w:w="763" w:type="dxa"/>
            <w:noWrap w:val="0"/>
            <w:vAlign w:val="center"/>
          </w:tcPr>
          <w:p w14:paraId="4885BAF2">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331C4D0A">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3527CC4F">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5223467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54EE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64" w:type="dxa"/>
            <w:vMerge w:val="continue"/>
            <w:tcBorders>
              <w:left w:val="single" w:color="auto" w:sz="4" w:space="0"/>
              <w:right w:val="single" w:color="auto" w:sz="4" w:space="0"/>
            </w:tcBorders>
            <w:noWrap w:val="0"/>
            <w:vAlign w:val="center"/>
          </w:tcPr>
          <w:p w14:paraId="5FF0FE50">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207F61DA">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lang w:val="en-US" w:eastAsia="zh-CN"/>
              </w:rPr>
              <w:t>2.代理公司工作人员的服务态度被</w:t>
            </w:r>
            <w:r>
              <w:rPr>
                <w:rFonts w:hint="eastAsia" w:ascii="Times New Roman" w:hAnsi="Times New Roman" w:eastAsia="仿宋" w:cs="Times New Roman"/>
                <w:color w:val="auto"/>
                <w:sz w:val="24"/>
                <w:lang w:val="en-US" w:eastAsia="zh-CN"/>
              </w:rPr>
              <w:t>项目响应方</w:t>
            </w:r>
            <w:r>
              <w:rPr>
                <w:rFonts w:hint="default" w:ascii="Times New Roman" w:hAnsi="Times New Roman" w:eastAsia="仿宋" w:cs="Times New Roman"/>
                <w:color w:val="auto"/>
                <w:sz w:val="24"/>
                <w:lang w:val="en-US" w:eastAsia="zh-CN"/>
              </w:rPr>
              <w:t>、</w:t>
            </w:r>
            <w:r>
              <w:rPr>
                <w:rFonts w:hint="eastAsia" w:ascii="Times New Roman" w:hAnsi="Times New Roman" w:eastAsia="仿宋" w:cs="Times New Roman"/>
                <w:color w:val="auto"/>
                <w:sz w:val="24"/>
                <w:lang w:val="en-US" w:eastAsia="zh-CN"/>
              </w:rPr>
              <w:t>项目发起方</w:t>
            </w:r>
            <w:r>
              <w:rPr>
                <w:rFonts w:hint="default" w:ascii="Times New Roman" w:hAnsi="Times New Roman" w:eastAsia="仿宋" w:cs="Times New Roman"/>
                <w:color w:val="auto"/>
                <w:sz w:val="24"/>
                <w:lang w:val="en-US" w:eastAsia="zh-CN"/>
              </w:rPr>
              <w:t>等服务对象投诉，经查属实的</w:t>
            </w:r>
          </w:p>
        </w:tc>
        <w:tc>
          <w:tcPr>
            <w:tcW w:w="763" w:type="dxa"/>
            <w:noWrap w:val="0"/>
            <w:vAlign w:val="center"/>
          </w:tcPr>
          <w:p w14:paraId="71C7A118">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w:t>
            </w:r>
          </w:p>
        </w:tc>
        <w:tc>
          <w:tcPr>
            <w:tcW w:w="750" w:type="dxa"/>
            <w:noWrap w:val="0"/>
            <w:vAlign w:val="center"/>
          </w:tcPr>
          <w:p w14:paraId="2DE3A342">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479CA456">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1BF2DFE8">
            <w:pPr>
              <w:pStyle w:val="15"/>
              <w:ind w:left="0" w:leftChars="0" w:firstLine="0" w:firstLineChars="0"/>
              <w:rPr>
                <w:rFonts w:hint="default"/>
                <w:color w:val="auto"/>
              </w:rPr>
            </w:pPr>
          </w:p>
        </w:tc>
      </w:tr>
      <w:tr w14:paraId="740D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4" w:type="dxa"/>
            <w:vMerge w:val="continue"/>
            <w:tcBorders>
              <w:left w:val="single" w:color="auto" w:sz="4" w:space="0"/>
              <w:right w:val="single" w:color="auto" w:sz="4" w:space="0"/>
            </w:tcBorders>
            <w:noWrap w:val="0"/>
            <w:vAlign w:val="center"/>
          </w:tcPr>
          <w:p w14:paraId="1A7B3604">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25A1BAAA">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3.发生投诉</w:t>
            </w:r>
            <w:r>
              <w:rPr>
                <w:rFonts w:hint="eastAsia" w:ascii="Times New Roman" w:hAnsi="Times New Roman" w:eastAsia="仿宋" w:cs="Times New Roman"/>
                <w:color w:val="auto"/>
                <w:sz w:val="24"/>
                <w:lang w:val="en-US" w:eastAsia="zh-CN"/>
              </w:rPr>
              <w:t>成立造成流标</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经认定属于代理机构</w:t>
            </w:r>
            <w:r>
              <w:rPr>
                <w:rFonts w:hint="eastAsia" w:ascii="Times New Roman" w:hAnsi="Times New Roman" w:eastAsia="仿宋" w:cs="Times New Roman"/>
                <w:color w:val="auto"/>
                <w:sz w:val="24"/>
                <w:lang w:val="en-US" w:eastAsia="zh-CN"/>
              </w:rPr>
              <w:t>造成</w:t>
            </w:r>
            <w:r>
              <w:rPr>
                <w:rFonts w:hint="default" w:ascii="Times New Roman" w:hAnsi="Times New Roman" w:eastAsia="仿宋" w:cs="Times New Roman"/>
                <w:color w:val="auto"/>
                <w:sz w:val="24"/>
              </w:rPr>
              <w:t>的</w:t>
            </w:r>
          </w:p>
        </w:tc>
        <w:tc>
          <w:tcPr>
            <w:tcW w:w="763" w:type="dxa"/>
            <w:noWrap w:val="0"/>
            <w:vAlign w:val="center"/>
          </w:tcPr>
          <w:p w14:paraId="44A5FCB4">
            <w:pPr>
              <w:adjustRightInd w:val="0"/>
              <w:snapToGrid w:val="0"/>
              <w:spacing w:line="400" w:lineRule="exact"/>
              <w:jc w:val="center"/>
              <w:rPr>
                <w:rFonts w:hint="default" w:ascii="Times New Roman" w:hAnsi="Times New Roman" w:eastAsia="仿宋" w:cs="Times New Roman"/>
                <w:color w:val="auto"/>
                <w:sz w:val="24"/>
                <w:lang w:val="en-US"/>
              </w:rPr>
            </w:pPr>
            <w:r>
              <w:rPr>
                <w:rFonts w:hint="eastAsia" w:ascii="Times New Roman" w:hAnsi="Times New Roman" w:eastAsia="仿宋" w:cs="Times New Roman"/>
                <w:color w:val="auto"/>
                <w:sz w:val="24"/>
                <w:lang w:val="en-US" w:eastAsia="zh-CN"/>
              </w:rPr>
              <w:t>15</w:t>
            </w:r>
          </w:p>
        </w:tc>
        <w:tc>
          <w:tcPr>
            <w:tcW w:w="750" w:type="dxa"/>
            <w:noWrap w:val="0"/>
            <w:vAlign w:val="center"/>
          </w:tcPr>
          <w:p w14:paraId="24BB39F1">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43835551">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5FA0241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4398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4" w:type="dxa"/>
            <w:vMerge w:val="continue"/>
            <w:tcBorders>
              <w:left w:val="single" w:color="auto" w:sz="4" w:space="0"/>
              <w:right w:val="single" w:color="auto" w:sz="4" w:space="0"/>
            </w:tcBorders>
            <w:noWrap w:val="0"/>
            <w:vAlign w:val="center"/>
          </w:tcPr>
          <w:p w14:paraId="55CA6E17">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33E7CED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3.发生投诉</w:t>
            </w:r>
            <w:r>
              <w:rPr>
                <w:rFonts w:hint="eastAsia" w:ascii="Times New Roman" w:hAnsi="Times New Roman" w:eastAsia="仿宋" w:cs="Times New Roman"/>
                <w:color w:val="auto"/>
                <w:sz w:val="24"/>
                <w:lang w:val="en-US" w:eastAsia="zh-CN"/>
              </w:rPr>
              <w:t>成立造成复评且结果发生改变</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经认定属于代理机构</w:t>
            </w:r>
            <w:r>
              <w:rPr>
                <w:rFonts w:hint="eastAsia" w:ascii="Times New Roman" w:hAnsi="Times New Roman" w:eastAsia="仿宋" w:cs="Times New Roman"/>
                <w:color w:val="auto"/>
                <w:sz w:val="24"/>
                <w:lang w:val="en-US" w:eastAsia="zh-CN"/>
              </w:rPr>
              <w:t>造成</w:t>
            </w:r>
            <w:r>
              <w:rPr>
                <w:rFonts w:hint="default" w:ascii="Times New Roman" w:hAnsi="Times New Roman" w:eastAsia="仿宋" w:cs="Times New Roman"/>
                <w:color w:val="auto"/>
                <w:sz w:val="24"/>
              </w:rPr>
              <w:t>的</w:t>
            </w:r>
          </w:p>
        </w:tc>
        <w:tc>
          <w:tcPr>
            <w:tcW w:w="763" w:type="dxa"/>
            <w:noWrap w:val="0"/>
            <w:vAlign w:val="center"/>
          </w:tcPr>
          <w:p w14:paraId="1A6BBB30">
            <w:pPr>
              <w:adjustRightInd w:val="0"/>
              <w:snapToGrid w:val="0"/>
              <w:spacing w:line="400" w:lineRule="exact"/>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20</w:t>
            </w:r>
          </w:p>
        </w:tc>
        <w:tc>
          <w:tcPr>
            <w:tcW w:w="750" w:type="dxa"/>
            <w:noWrap w:val="0"/>
            <w:vAlign w:val="center"/>
          </w:tcPr>
          <w:p w14:paraId="4A0BC70E">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37157286">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4C13B72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3C04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64" w:type="dxa"/>
            <w:vMerge w:val="continue"/>
            <w:tcBorders>
              <w:left w:val="single" w:color="auto" w:sz="4" w:space="0"/>
              <w:right w:val="single" w:color="auto" w:sz="4" w:space="0"/>
            </w:tcBorders>
            <w:noWrap w:val="0"/>
            <w:vAlign w:val="center"/>
          </w:tcPr>
          <w:p w14:paraId="22ED480F">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78D5AE6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4.未按交易</w:t>
            </w:r>
            <w:r>
              <w:rPr>
                <w:rFonts w:hint="default" w:ascii="Times New Roman" w:hAnsi="Times New Roman" w:eastAsia="仿宋" w:cs="Times New Roman"/>
                <w:color w:val="auto"/>
                <w:sz w:val="24"/>
                <w:lang w:val="en-US" w:eastAsia="zh-CN"/>
              </w:rPr>
              <w:t>机构</w:t>
            </w:r>
            <w:r>
              <w:rPr>
                <w:rFonts w:hint="default" w:ascii="Times New Roman" w:hAnsi="Times New Roman" w:eastAsia="仿宋" w:cs="Times New Roman"/>
                <w:color w:val="auto"/>
                <w:sz w:val="24"/>
              </w:rPr>
              <w:t>要求及时办理样品退还手续，影响交易</w:t>
            </w:r>
            <w:r>
              <w:rPr>
                <w:rFonts w:hint="default" w:ascii="Times New Roman" w:hAnsi="Times New Roman" w:eastAsia="仿宋" w:cs="Times New Roman"/>
                <w:color w:val="auto"/>
                <w:sz w:val="24"/>
                <w:lang w:val="en-US" w:eastAsia="zh-CN"/>
              </w:rPr>
              <w:t>机构</w:t>
            </w:r>
            <w:r>
              <w:rPr>
                <w:rFonts w:hint="default" w:ascii="Times New Roman" w:hAnsi="Times New Roman" w:eastAsia="仿宋" w:cs="Times New Roman"/>
                <w:color w:val="auto"/>
                <w:sz w:val="24"/>
              </w:rPr>
              <w:t>场地秩序的</w:t>
            </w:r>
          </w:p>
        </w:tc>
        <w:tc>
          <w:tcPr>
            <w:tcW w:w="763" w:type="dxa"/>
            <w:noWrap w:val="0"/>
            <w:vAlign w:val="center"/>
          </w:tcPr>
          <w:p w14:paraId="048A4E37">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w:t>
            </w:r>
          </w:p>
        </w:tc>
        <w:tc>
          <w:tcPr>
            <w:tcW w:w="750" w:type="dxa"/>
            <w:noWrap w:val="0"/>
            <w:vAlign w:val="center"/>
          </w:tcPr>
          <w:p w14:paraId="6EAB0043">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5A2AD4DF">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17BB045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292A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64" w:type="dxa"/>
            <w:vMerge w:val="continue"/>
            <w:tcBorders>
              <w:left w:val="single" w:color="auto" w:sz="4" w:space="0"/>
              <w:right w:val="single" w:color="auto" w:sz="4" w:space="0"/>
            </w:tcBorders>
            <w:noWrap w:val="0"/>
            <w:vAlign w:val="center"/>
          </w:tcPr>
          <w:p w14:paraId="7E19C3FA">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681B28C8">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5.所代理的项目，前一次交易程序未完成，重新入场交易的</w:t>
            </w:r>
          </w:p>
        </w:tc>
        <w:tc>
          <w:tcPr>
            <w:tcW w:w="763" w:type="dxa"/>
            <w:noWrap w:val="0"/>
            <w:vAlign w:val="center"/>
          </w:tcPr>
          <w:p w14:paraId="5E9215EB">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53B1EC0D">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28209215">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7D490A5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7DE0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4" w:type="dxa"/>
            <w:vMerge w:val="continue"/>
            <w:tcBorders>
              <w:left w:val="single" w:color="auto" w:sz="4" w:space="0"/>
              <w:right w:val="single" w:color="auto" w:sz="4" w:space="0"/>
            </w:tcBorders>
            <w:noWrap w:val="0"/>
            <w:vAlign w:val="center"/>
          </w:tcPr>
          <w:p w14:paraId="07C18A2D">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1436223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6.未及时办理投标保证金退还手续</w:t>
            </w:r>
            <w:r>
              <w:rPr>
                <w:rFonts w:hint="default"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造成不良影响的</w:t>
            </w:r>
          </w:p>
        </w:tc>
        <w:tc>
          <w:tcPr>
            <w:tcW w:w="763" w:type="dxa"/>
            <w:noWrap w:val="0"/>
            <w:vAlign w:val="center"/>
          </w:tcPr>
          <w:p w14:paraId="4D2BB512">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4D22CB04">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7ECE4276">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1F21E79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12F7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64" w:type="dxa"/>
            <w:vMerge w:val="restart"/>
            <w:tcBorders>
              <w:top w:val="single" w:color="auto" w:sz="4" w:space="0"/>
              <w:left w:val="single" w:color="auto" w:sz="4" w:space="0"/>
              <w:right w:val="single" w:color="auto" w:sz="4" w:space="0"/>
            </w:tcBorders>
            <w:noWrap w:val="0"/>
            <w:vAlign w:val="center"/>
          </w:tcPr>
          <w:p w14:paraId="7BA78B8D">
            <w:pPr>
              <w:adjustRightInd w:val="0"/>
              <w:snapToGrid w:val="0"/>
              <w:spacing w:line="360" w:lineRule="auto"/>
              <w:jc w:val="center"/>
              <w:rPr>
                <w:rFonts w:hint="default" w:ascii="Times New Roman" w:hAnsi="Times New Roman" w:eastAsia="黑体" w:cs="Times New Roman"/>
                <w:color w:val="auto"/>
                <w:sz w:val="24"/>
              </w:rPr>
            </w:pPr>
          </w:p>
          <w:p w14:paraId="08C4C7F2">
            <w:pPr>
              <w:adjustRightInd w:val="0"/>
              <w:snapToGrid w:val="0"/>
              <w:spacing w:line="360" w:lineRule="auto"/>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相关工作</w:t>
            </w:r>
          </w:p>
          <w:p w14:paraId="77565F4A">
            <w:pPr>
              <w:adjustRightInd w:val="0"/>
              <w:snapToGrid w:val="0"/>
              <w:spacing w:line="360" w:lineRule="auto"/>
              <w:jc w:val="center"/>
              <w:rPr>
                <w:rFonts w:hint="default" w:ascii="Times New Roman" w:hAnsi="Times New Roman" w:eastAsia="仿宋_GB2312" w:cs="Times New Roman"/>
                <w:color w:val="auto"/>
                <w:sz w:val="24"/>
              </w:rPr>
            </w:pPr>
          </w:p>
          <w:p w14:paraId="0B4ABB92">
            <w:pPr>
              <w:adjustRightInd w:val="0"/>
              <w:snapToGrid w:val="0"/>
              <w:spacing w:line="360" w:lineRule="auto"/>
              <w:rPr>
                <w:rFonts w:hint="default" w:ascii="Times New Roman" w:hAnsi="Times New Roman" w:eastAsia="仿宋_GB2312" w:cs="Times New Roman"/>
                <w:color w:val="auto"/>
                <w:kern w:val="2"/>
                <w:sz w:val="24"/>
                <w:szCs w:val="24"/>
                <w:lang w:val="en-US" w:eastAsia="zh-CN" w:bidi="ar-SA"/>
              </w:rPr>
            </w:pPr>
          </w:p>
        </w:tc>
        <w:tc>
          <w:tcPr>
            <w:tcW w:w="5428" w:type="dxa"/>
            <w:noWrap w:val="0"/>
            <w:vAlign w:val="center"/>
          </w:tcPr>
          <w:p w14:paraId="3707DFBA">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1.交易过程使用的自有设备或操作存在病毒，影响系统、网络安全的</w:t>
            </w:r>
          </w:p>
        </w:tc>
        <w:tc>
          <w:tcPr>
            <w:tcW w:w="763" w:type="dxa"/>
            <w:noWrap w:val="0"/>
            <w:vAlign w:val="center"/>
          </w:tcPr>
          <w:p w14:paraId="27E64543">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750" w:type="dxa"/>
            <w:noWrap w:val="0"/>
            <w:vAlign w:val="center"/>
          </w:tcPr>
          <w:p w14:paraId="4873F652">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6C040B0A">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690C2D0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276A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64" w:type="dxa"/>
            <w:vMerge w:val="continue"/>
            <w:tcBorders>
              <w:left w:val="single" w:color="auto" w:sz="4" w:space="0"/>
              <w:right w:val="single" w:color="auto" w:sz="4" w:space="0"/>
            </w:tcBorders>
            <w:noWrap w:val="0"/>
            <w:vAlign w:val="center"/>
          </w:tcPr>
          <w:p w14:paraId="3C953C5D">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42488D17">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2.在交易场所内不服从行政</w:t>
            </w:r>
            <w:r>
              <w:rPr>
                <w:rFonts w:hint="default" w:ascii="Times New Roman" w:hAnsi="Times New Roman" w:eastAsia="仿宋" w:cs="Times New Roman"/>
                <w:color w:val="auto"/>
                <w:sz w:val="24"/>
                <w:lang w:eastAsia="zh-CN"/>
              </w:rPr>
              <w:t>监督管理</w:t>
            </w:r>
            <w:r>
              <w:rPr>
                <w:rFonts w:hint="default" w:ascii="Times New Roman" w:hAnsi="Times New Roman" w:eastAsia="仿宋" w:cs="Times New Roman"/>
                <w:color w:val="auto"/>
                <w:sz w:val="24"/>
              </w:rPr>
              <w:t>部门或交易</w:t>
            </w:r>
            <w:r>
              <w:rPr>
                <w:rFonts w:hint="default" w:ascii="Times New Roman" w:hAnsi="Times New Roman" w:eastAsia="仿宋" w:cs="Times New Roman"/>
                <w:color w:val="auto"/>
                <w:sz w:val="24"/>
                <w:lang w:val="en-US" w:eastAsia="zh-CN"/>
              </w:rPr>
              <w:t>机构</w:t>
            </w:r>
            <w:r>
              <w:rPr>
                <w:rFonts w:hint="default" w:ascii="Times New Roman" w:hAnsi="Times New Roman" w:eastAsia="仿宋" w:cs="Times New Roman"/>
                <w:color w:val="auto"/>
                <w:sz w:val="24"/>
              </w:rPr>
              <w:t>工作人员管理</w:t>
            </w:r>
            <w:r>
              <w:rPr>
                <w:rFonts w:hint="default" w:ascii="Times New Roman" w:hAnsi="Times New Roman" w:eastAsia="仿宋" w:cs="Times New Roman"/>
                <w:color w:val="auto"/>
                <w:sz w:val="24"/>
                <w:lang w:val="en-US" w:eastAsia="zh-CN"/>
              </w:rPr>
              <w:t>的</w:t>
            </w:r>
          </w:p>
        </w:tc>
        <w:tc>
          <w:tcPr>
            <w:tcW w:w="763" w:type="dxa"/>
            <w:noWrap w:val="0"/>
            <w:vAlign w:val="center"/>
          </w:tcPr>
          <w:p w14:paraId="42DA0AFD">
            <w:pPr>
              <w:adjustRightInd w:val="0"/>
              <w:snapToGrid w:val="0"/>
              <w:spacing w:line="400" w:lineRule="exact"/>
              <w:jc w:val="center"/>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lang w:val="en-US" w:eastAsia="zh-CN"/>
              </w:rPr>
              <w:t>5</w:t>
            </w:r>
          </w:p>
        </w:tc>
        <w:tc>
          <w:tcPr>
            <w:tcW w:w="750" w:type="dxa"/>
            <w:noWrap w:val="0"/>
            <w:vAlign w:val="center"/>
          </w:tcPr>
          <w:p w14:paraId="5CB34064">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48AA2CA2">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383F674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5558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64" w:type="dxa"/>
            <w:vMerge w:val="continue"/>
            <w:tcBorders>
              <w:left w:val="single" w:color="auto" w:sz="4" w:space="0"/>
              <w:right w:val="single" w:color="auto" w:sz="4" w:space="0"/>
            </w:tcBorders>
            <w:noWrap w:val="0"/>
            <w:vAlign w:val="center"/>
          </w:tcPr>
          <w:p w14:paraId="46D5C29A">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4C5A9CF6">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3.交易档案或交易资料未按档案管理办法及相关规定及时归档或者未按规范归档的</w:t>
            </w:r>
          </w:p>
        </w:tc>
        <w:tc>
          <w:tcPr>
            <w:tcW w:w="763" w:type="dxa"/>
            <w:noWrap w:val="0"/>
            <w:vAlign w:val="center"/>
          </w:tcPr>
          <w:p w14:paraId="4CACA96F">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374092B5">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40B7B9F5">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7F17F9D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3D25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64" w:type="dxa"/>
            <w:vMerge w:val="continue"/>
            <w:tcBorders>
              <w:left w:val="single" w:color="auto" w:sz="4" w:space="0"/>
              <w:right w:val="single" w:color="auto" w:sz="4" w:space="0"/>
            </w:tcBorders>
            <w:noWrap w:val="0"/>
            <w:vAlign w:val="center"/>
          </w:tcPr>
          <w:p w14:paraId="28B1A8D0">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1D1710D2">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4.未按交易机构的交易流程开展交易活动的</w:t>
            </w:r>
          </w:p>
        </w:tc>
        <w:tc>
          <w:tcPr>
            <w:tcW w:w="763" w:type="dxa"/>
            <w:noWrap w:val="0"/>
            <w:vAlign w:val="center"/>
          </w:tcPr>
          <w:p w14:paraId="65507F6B">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2613A541">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78F63E6F">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18D40C95">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26D3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64" w:type="dxa"/>
            <w:vMerge w:val="continue"/>
            <w:tcBorders>
              <w:left w:val="single" w:color="auto" w:sz="4" w:space="0"/>
              <w:right w:val="single" w:color="auto" w:sz="4" w:space="0"/>
            </w:tcBorders>
            <w:noWrap w:val="0"/>
            <w:vAlign w:val="center"/>
          </w:tcPr>
          <w:p w14:paraId="62A28E17">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589D00B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5.未能按行政</w:t>
            </w:r>
            <w:r>
              <w:rPr>
                <w:rFonts w:hint="default" w:ascii="Times New Roman" w:hAnsi="Times New Roman" w:eastAsia="仿宋" w:cs="Times New Roman"/>
                <w:color w:val="auto"/>
                <w:sz w:val="24"/>
                <w:lang w:eastAsia="zh-CN"/>
              </w:rPr>
              <w:t>监督管理</w:t>
            </w:r>
            <w:r>
              <w:rPr>
                <w:rFonts w:hint="default" w:ascii="Times New Roman" w:hAnsi="Times New Roman" w:eastAsia="仿宋" w:cs="Times New Roman"/>
                <w:color w:val="auto"/>
                <w:sz w:val="24"/>
              </w:rPr>
              <w:t>部门、交易机构要求参加有关座谈、培训活动的</w:t>
            </w:r>
          </w:p>
        </w:tc>
        <w:tc>
          <w:tcPr>
            <w:tcW w:w="763" w:type="dxa"/>
            <w:noWrap w:val="0"/>
            <w:vAlign w:val="center"/>
          </w:tcPr>
          <w:p w14:paraId="143405F3">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70857357">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3686FB24">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1E2846D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2AA3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64" w:type="dxa"/>
            <w:vMerge w:val="continue"/>
            <w:tcBorders>
              <w:left w:val="single" w:color="auto" w:sz="4" w:space="0"/>
              <w:right w:val="single" w:color="auto" w:sz="4" w:space="0"/>
            </w:tcBorders>
            <w:noWrap w:val="0"/>
            <w:vAlign w:val="center"/>
          </w:tcPr>
          <w:p w14:paraId="528ED774">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62815B2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6.代理机构受行政</w:t>
            </w:r>
            <w:r>
              <w:rPr>
                <w:rFonts w:hint="default" w:ascii="Times New Roman" w:hAnsi="Times New Roman" w:eastAsia="仿宋" w:cs="Times New Roman"/>
                <w:color w:val="auto"/>
                <w:sz w:val="24"/>
                <w:lang w:eastAsia="zh-CN"/>
              </w:rPr>
              <w:t>监督管理</w:t>
            </w:r>
            <w:r>
              <w:rPr>
                <w:rFonts w:hint="default" w:ascii="Times New Roman" w:hAnsi="Times New Roman" w:eastAsia="仿宋" w:cs="Times New Roman"/>
                <w:color w:val="auto"/>
                <w:sz w:val="24"/>
              </w:rPr>
              <w:t>部门通报批评的</w:t>
            </w:r>
          </w:p>
        </w:tc>
        <w:tc>
          <w:tcPr>
            <w:tcW w:w="763" w:type="dxa"/>
            <w:noWrap w:val="0"/>
            <w:vAlign w:val="center"/>
          </w:tcPr>
          <w:p w14:paraId="13716A2B">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15</w:t>
            </w:r>
          </w:p>
        </w:tc>
        <w:tc>
          <w:tcPr>
            <w:tcW w:w="750" w:type="dxa"/>
            <w:noWrap w:val="0"/>
            <w:vAlign w:val="center"/>
          </w:tcPr>
          <w:p w14:paraId="67291909">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5A0B9149">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7DAB6A6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0AB8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4" w:type="dxa"/>
            <w:vMerge w:val="continue"/>
            <w:tcBorders>
              <w:left w:val="single" w:color="auto" w:sz="4" w:space="0"/>
              <w:right w:val="single" w:color="auto" w:sz="4" w:space="0"/>
            </w:tcBorders>
            <w:noWrap w:val="0"/>
            <w:vAlign w:val="center"/>
          </w:tcPr>
          <w:p w14:paraId="6B342575">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03BB920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7.未按相关规定实施电子化招投标的</w:t>
            </w:r>
          </w:p>
        </w:tc>
        <w:tc>
          <w:tcPr>
            <w:tcW w:w="763" w:type="dxa"/>
            <w:noWrap w:val="0"/>
            <w:vAlign w:val="center"/>
          </w:tcPr>
          <w:p w14:paraId="31F3E42F">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5</w:t>
            </w:r>
          </w:p>
        </w:tc>
        <w:tc>
          <w:tcPr>
            <w:tcW w:w="750" w:type="dxa"/>
            <w:noWrap w:val="0"/>
            <w:vAlign w:val="center"/>
          </w:tcPr>
          <w:p w14:paraId="33267C0F">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405CAF38">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78ED04E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24D7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64" w:type="dxa"/>
            <w:vMerge w:val="continue"/>
            <w:tcBorders>
              <w:left w:val="single" w:color="auto" w:sz="4" w:space="0"/>
              <w:right w:val="single" w:color="auto" w:sz="4" w:space="0"/>
            </w:tcBorders>
            <w:noWrap w:val="0"/>
            <w:vAlign w:val="center"/>
          </w:tcPr>
          <w:p w14:paraId="4C341B24">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7609C42A">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8.未执行自治区有关部门相关规定，违规收取招标代理服务费的</w:t>
            </w:r>
          </w:p>
        </w:tc>
        <w:tc>
          <w:tcPr>
            <w:tcW w:w="763" w:type="dxa"/>
            <w:noWrap w:val="0"/>
            <w:vAlign w:val="center"/>
          </w:tcPr>
          <w:p w14:paraId="03EAE91A">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20</w:t>
            </w:r>
          </w:p>
        </w:tc>
        <w:tc>
          <w:tcPr>
            <w:tcW w:w="750" w:type="dxa"/>
            <w:noWrap w:val="0"/>
            <w:vAlign w:val="center"/>
          </w:tcPr>
          <w:p w14:paraId="0612EF09">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1BCC95B0">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761A325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1391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64" w:type="dxa"/>
            <w:vMerge w:val="continue"/>
            <w:tcBorders>
              <w:left w:val="single" w:color="auto" w:sz="4" w:space="0"/>
              <w:right w:val="single" w:color="auto" w:sz="4" w:space="0"/>
            </w:tcBorders>
            <w:noWrap w:val="0"/>
            <w:vAlign w:val="center"/>
          </w:tcPr>
          <w:p w14:paraId="12546C94">
            <w:pPr>
              <w:adjustRightInd w:val="0"/>
              <w:snapToGrid w:val="0"/>
              <w:spacing w:line="360" w:lineRule="auto"/>
              <w:rPr>
                <w:rFonts w:hint="default" w:ascii="Times New Roman" w:hAnsi="Times New Roman" w:eastAsia="仿宋_GB2312" w:cs="Times New Roman"/>
                <w:color w:val="auto"/>
                <w:kern w:val="2"/>
                <w:sz w:val="24"/>
                <w:szCs w:val="24"/>
                <w:lang w:val="en-US" w:eastAsia="zh-CN" w:bidi="ar-SA"/>
              </w:rPr>
            </w:pPr>
          </w:p>
        </w:tc>
        <w:tc>
          <w:tcPr>
            <w:tcW w:w="5428" w:type="dxa"/>
            <w:noWrap w:val="0"/>
            <w:vAlign w:val="center"/>
          </w:tcPr>
          <w:p w14:paraId="3E67A4AA">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9.代理机构提供虚假材料的</w:t>
            </w:r>
          </w:p>
        </w:tc>
        <w:tc>
          <w:tcPr>
            <w:tcW w:w="763" w:type="dxa"/>
            <w:noWrap w:val="0"/>
            <w:vAlign w:val="center"/>
          </w:tcPr>
          <w:p w14:paraId="3B014A3A">
            <w:pPr>
              <w:adjustRightInd w:val="0"/>
              <w:snapToGrid w:val="0"/>
              <w:spacing w:line="400" w:lineRule="exact"/>
              <w:jc w:val="center"/>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3</w:t>
            </w:r>
            <w:r>
              <w:rPr>
                <w:rFonts w:hint="default" w:ascii="Times New Roman" w:hAnsi="Times New Roman" w:eastAsia="仿宋" w:cs="Times New Roman"/>
                <w:color w:val="auto"/>
                <w:sz w:val="24"/>
              </w:rPr>
              <w:t>0</w:t>
            </w:r>
          </w:p>
        </w:tc>
        <w:tc>
          <w:tcPr>
            <w:tcW w:w="750" w:type="dxa"/>
            <w:noWrap w:val="0"/>
            <w:vAlign w:val="center"/>
          </w:tcPr>
          <w:p w14:paraId="0AD2C1F9">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52E8188F">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0D88CBE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auto"/>
                <w:sz w:val="24"/>
              </w:rPr>
            </w:pPr>
          </w:p>
        </w:tc>
      </w:tr>
      <w:tr w14:paraId="68D9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64" w:type="dxa"/>
            <w:vMerge w:val="continue"/>
            <w:tcBorders>
              <w:left w:val="single" w:color="auto" w:sz="4" w:space="0"/>
              <w:right w:val="single" w:color="auto" w:sz="4" w:space="0"/>
            </w:tcBorders>
            <w:noWrap w:val="0"/>
            <w:vAlign w:val="center"/>
          </w:tcPr>
          <w:p w14:paraId="2F4A4DD6">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0C242827">
            <w:pPr>
              <w:adjustRightInd w:val="0"/>
              <w:snapToGrid w:val="0"/>
              <w:spacing w:line="400" w:lineRule="exact"/>
              <w:jc w:val="both"/>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10.受到罚款、没收违法所得</w:t>
            </w:r>
            <w:r>
              <w:rPr>
                <w:rFonts w:hint="eastAsia" w:ascii="Times New Roman" w:hAnsi="Times New Roman" w:eastAsia="仿宋" w:cs="Times New Roman"/>
                <w:color w:val="auto"/>
                <w:sz w:val="24"/>
                <w:lang w:val="en-US" w:eastAsia="zh-CN"/>
              </w:rPr>
              <w:t>等与公共资源交易代理活动有关的</w:t>
            </w:r>
            <w:r>
              <w:rPr>
                <w:rFonts w:hint="default" w:ascii="Times New Roman" w:hAnsi="Times New Roman" w:eastAsia="仿宋" w:cs="Times New Roman"/>
                <w:color w:val="auto"/>
                <w:sz w:val="24"/>
              </w:rPr>
              <w:t>行政处罚的</w:t>
            </w:r>
          </w:p>
        </w:tc>
        <w:tc>
          <w:tcPr>
            <w:tcW w:w="763" w:type="dxa"/>
            <w:noWrap w:val="0"/>
            <w:vAlign w:val="center"/>
          </w:tcPr>
          <w:p w14:paraId="4DC2981F">
            <w:pPr>
              <w:adjustRightInd w:val="0"/>
              <w:snapToGrid w:val="0"/>
              <w:spacing w:line="400" w:lineRule="exact"/>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30</w:t>
            </w:r>
          </w:p>
        </w:tc>
        <w:tc>
          <w:tcPr>
            <w:tcW w:w="750" w:type="dxa"/>
            <w:noWrap w:val="0"/>
            <w:vAlign w:val="center"/>
          </w:tcPr>
          <w:p w14:paraId="762A8D89">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49B46745">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4CF03CF7">
            <w:pPr>
              <w:adjustRightInd w:val="0"/>
              <w:snapToGrid w:val="0"/>
              <w:spacing w:line="400" w:lineRule="exact"/>
              <w:jc w:val="left"/>
              <w:rPr>
                <w:rFonts w:hint="default" w:ascii="Times New Roman" w:hAnsi="Times New Roman" w:eastAsia="仿宋" w:cs="Times New Roman"/>
                <w:color w:val="auto"/>
                <w:sz w:val="24"/>
              </w:rPr>
            </w:pPr>
          </w:p>
        </w:tc>
      </w:tr>
      <w:tr w14:paraId="7075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64" w:type="dxa"/>
            <w:tcBorders>
              <w:left w:val="single" w:color="auto" w:sz="4" w:space="0"/>
              <w:right w:val="single" w:color="auto" w:sz="4" w:space="0"/>
            </w:tcBorders>
            <w:noWrap w:val="0"/>
            <w:vAlign w:val="center"/>
          </w:tcPr>
          <w:p w14:paraId="1D78C375">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noWrap w:val="0"/>
            <w:vAlign w:val="center"/>
          </w:tcPr>
          <w:p w14:paraId="7C6D7EA0">
            <w:pPr>
              <w:adjustRightInd w:val="0"/>
              <w:snapToGrid w:val="0"/>
              <w:spacing w:line="400" w:lineRule="exact"/>
              <w:jc w:val="both"/>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11.运用互联网等非保密渠道传输保密交易信息，造成保密信息泄露的</w:t>
            </w:r>
          </w:p>
        </w:tc>
        <w:tc>
          <w:tcPr>
            <w:tcW w:w="763" w:type="dxa"/>
            <w:noWrap w:val="0"/>
            <w:vAlign w:val="center"/>
          </w:tcPr>
          <w:p w14:paraId="2A03BB0F">
            <w:pPr>
              <w:adjustRightInd w:val="0"/>
              <w:snapToGrid w:val="0"/>
              <w:spacing w:line="400" w:lineRule="exact"/>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30</w:t>
            </w:r>
          </w:p>
        </w:tc>
        <w:tc>
          <w:tcPr>
            <w:tcW w:w="750" w:type="dxa"/>
            <w:noWrap w:val="0"/>
            <w:vAlign w:val="center"/>
          </w:tcPr>
          <w:p w14:paraId="5F854C65">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1E96E51F">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345E5CCE">
            <w:pPr>
              <w:adjustRightInd w:val="0"/>
              <w:snapToGrid w:val="0"/>
              <w:spacing w:line="400" w:lineRule="exact"/>
              <w:jc w:val="left"/>
              <w:rPr>
                <w:rFonts w:hint="default" w:ascii="Times New Roman" w:hAnsi="Times New Roman" w:eastAsia="仿宋" w:cs="Times New Roman"/>
                <w:color w:val="auto"/>
                <w:sz w:val="24"/>
              </w:rPr>
            </w:pPr>
          </w:p>
        </w:tc>
      </w:tr>
      <w:tr w14:paraId="67D2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64" w:type="dxa"/>
            <w:tcBorders>
              <w:left w:val="single" w:color="auto" w:sz="4" w:space="0"/>
              <w:right w:val="single" w:color="auto" w:sz="4" w:space="0"/>
            </w:tcBorders>
            <w:noWrap w:val="0"/>
            <w:vAlign w:val="center"/>
          </w:tcPr>
          <w:p w14:paraId="77A2EE34">
            <w:pPr>
              <w:adjustRightInd w:val="0"/>
              <w:snapToGrid w:val="0"/>
              <w:spacing w:line="360" w:lineRule="auto"/>
              <w:jc w:val="center"/>
              <w:rPr>
                <w:rFonts w:hint="default" w:ascii="Times New Roman" w:hAnsi="Times New Roman" w:eastAsia="仿宋_GB2312" w:cs="Times New Roman"/>
                <w:color w:val="auto"/>
                <w:sz w:val="24"/>
              </w:rPr>
            </w:pPr>
          </w:p>
        </w:tc>
        <w:tc>
          <w:tcPr>
            <w:tcW w:w="5428" w:type="dxa"/>
            <w:shd w:val="clear" w:color="auto" w:fill="auto"/>
            <w:noWrap w:val="0"/>
            <w:vAlign w:val="center"/>
          </w:tcPr>
          <w:p w14:paraId="2964151E">
            <w:pPr>
              <w:adjustRightInd w:val="0"/>
              <w:snapToGrid w:val="0"/>
              <w:spacing w:line="400" w:lineRule="exact"/>
              <w:jc w:val="both"/>
              <w:rPr>
                <w:rFonts w:hint="default" w:ascii="Times New Roman" w:hAnsi="Times New Roman" w:eastAsia="仿宋" w:cs="Times New Roman"/>
                <w:color w:val="auto"/>
                <w:kern w:val="2"/>
                <w:sz w:val="24"/>
                <w:szCs w:val="22"/>
                <w:lang w:val="en-US" w:eastAsia="zh-CN" w:bidi="ar-SA"/>
              </w:rPr>
            </w:pPr>
            <w:r>
              <w:rPr>
                <w:rFonts w:hint="eastAsia" w:ascii="Times New Roman" w:hAnsi="Times New Roman" w:eastAsia="仿宋" w:cs="Times New Roman"/>
                <w:color w:val="auto"/>
                <w:sz w:val="24"/>
                <w:lang w:val="en-US" w:eastAsia="zh-CN"/>
              </w:rPr>
              <w:t>12.运用互联网等非保密渠道传输不宜公开交易信息，造成信息泄露的</w:t>
            </w:r>
          </w:p>
        </w:tc>
        <w:tc>
          <w:tcPr>
            <w:tcW w:w="763" w:type="dxa"/>
            <w:shd w:val="clear" w:color="auto" w:fill="auto"/>
            <w:noWrap w:val="0"/>
            <w:vAlign w:val="center"/>
          </w:tcPr>
          <w:p w14:paraId="777EB7E4">
            <w:pPr>
              <w:adjustRightInd w:val="0"/>
              <w:snapToGrid w:val="0"/>
              <w:spacing w:line="400" w:lineRule="exact"/>
              <w:jc w:val="center"/>
              <w:rPr>
                <w:rFonts w:hint="default" w:ascii="Times New Roman" w:hAnsi="Times New Roman" w:eastAsia="仿宋" w:cs="Times New Roman"/>
                <w:color w:val="auto"/>
                <w:kern w:val="2"/>
                <w:sz w:val="24"/>
                <w:szCs w:val="22"/>
                <w:lang w:val="en-US" w:eastAsia="zh-CN" w:bidi="ar-SA"/>
              </w:rPr>
            </w:pPr>
            <w:r>
              <w:rPr>
                <w:rFonts w:hint="eastAsia" w:ascii="Times New Roman" w:hAnsi="Times New Roman" w:eastAsia="仿宋" w:cs="Times New Roman"/>
                <w:color w:val="auto"/>
                <w:sz w:val="24"/>
                <w:lang w:val="en-US" w:eastAsia="zh-CN"/>
              </w:rPr>
              <w:t>10</w:t>
            </w:r>
          </w:p>
        </w:tc>
        <w:tc>
          <w:tcPr>
            <w:tcW w:w="750" w:type="dxa"/>
            <w:noWrap w:val="0"/>
            <w:vAlign w:val="center"/>
          </w:tcPr>
          <w:p w14:paraId="37AFF4F5">
            <w:pPr>
              <w:adjustRightInd w:val="0"/>
              <w:snapToGrid w:val="0"/>
              <w:spacing w:line="400" w:lineRule="exact"/>
              <w:jc w:val="left"/>
              <w:rPr>
                <w:rFonts w:hint="default" w:ascii="Times New Roman" w:hAnsi="Times New Roman" w:eastAsia="仿宋" w:cs="Times New Roman"/>
                <w:color w:val="auto"/>
                <w:sz w:val="24"/>
              </w:rPr>
            </w:pPr>
          </w:p>
        </w:tc>
        <w:tc>
          <w:tcPr>
            <w:tcW w:w="737" w:type="dxa"/>
            <w:noWrap w:val="0"/>
            <w:vAlign w:val="center"/>
          </w:tcPr>
          <w:p w14:paraId="754672CB">
            <w:pPr>
              <w:adjustRightInd w:val="0"/>
              <w:snapToGrid w:val="0"/>
              <w:spacing w:line="400" w:lineRule="exact"/>
              <w:jc w:val="left"/>
              <w:rPr>
                <w:rFonts w:hint="default" w:ascii="Times New Roman" w:hAnsi="Times New Roman" w:eastAsia="仿宋" w:cs="Times New Roman"/>
                <w:color w:val="auto"/>
                <w:sz w:val="24"/>
              </w:rPr>
            </w:pPr>
          </w:p>
        </w:tc>
        <w:tc>
          <w:tcPr>
            <w:tcW w:w="905" w:type="dxa"/>
            <w:noWrap w:val="0"/>
            <w:vAlign w:val="center"/>
          </w:tcPr>
          <w:p w14:paraId="5509BE88">
            <w:pPr>
              <w:adjustRightInd w:val="0"/>
              <w:snapToGrid w:val="0"/>
              <w:spacing w:line="400" w:lineRule="exact"/>
              <w:jc w:val="left"/>
              <w:rPr>
                <w:rFonts w:hint="default" w:ascii="Times New Roman" w:hAnsi="Times New Roman" w:eastAsia="仿宋" w:cs="Times New Roman"/>
                <w:color w:val="auto"/>
                <w:sz w:val="24"/>
              </w:rPr>
            </w:pPr>
          </w:p>
        </w:tc>
      </w:tr>
    </w:tbl>
    <w:p w14:paraId="6C7882CA">
      <w:pPr>
        <w:rPr>
          <w:rFonts w:hint="default"/>
          <w:lang w:val="en-US" w:eastAsia="zh-CN"/>
        </w:rPr>
      </w:pPr>
    </w:p>
    <w:p w14:paraId="761332F0">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80" w:lineRule="exact"/>
        <w:ind w:right="0"/>
        <w:jc w:val="both"/>
        <w:textAlignment w:val="auto"/>
        <w:rPr>
          <w:rFonts w:hint="eastAsia" w:ascii="仿宋_GB2312" w:eastAsia="仿宋_GB2312"/>
          <w:sz w:val="32"/>
          <w:szCs w:val="32"/>
        </w:rPr>
      </w:pPr>
    </w:p>
    <w:sectPr>
      <w:headerReference r:id="rId3" w:type="default"/>
      <w:footerReference r:id="rId4" w:type="default"/>
      <w:pgSz w:w="11906" w:h="16838"/>
      <w:pgMar w:top="2098" w:right="1474" w:bottom="1984" w:left="1587"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16033"/>
      <w:docPartObj>
        <w:docPartGallery w:val="autotext"/>
      </w:docPartObj>
    </w:sdtPr>
    <w:sdtEndPr>
      <w:rPr>
        <w:rFonts w:asciiTheme="minorEastAsia" w:hAnsiTheme="minorEastAsia"/>
        <w:sz w:val="28"/>
        <w:szCs w:val="28"/>
      </w:rPr>
    </w:sdtEndPr>
    <w:sdtContent>
      <w:p w14:paraId="34AD2B44">
        <w:pPr>
          <w:pStyle w:val="12"/>
          <w:jc w:val="cente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2597E76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9DBA">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51"/>
    <w:rsid w:val="00001596"/>
    <w:rsid w:val="0001568D"/>
    <w:rsid w:val="000243C5"/>
    <w:rsid w:val="000259D3"/>
    <w:rsid w:val="00031295"/>
    <w:rsid w:val="0007645C"/>
    <w:rsid w:val="00092BE2"/>
    <w:rsid w:val="000B0970"/>
    <w:rsid w:val="000B3448"/>
    <w:rsid w:val="001175A3"/>
    <w:rsid w:val="00131B55"/>
    <w:rsid w:val="00162A16"/>
    <w:rsid w:val="0016541A"/>
    <w:rsid w:val="00173846"/>
    <w:rsid w:val="00176016"/>
    <w:rsid w:val="00190212"/>
    <w:rsid w:val="001B05BF"/>
    <w:rsid w:val="001B5E34"/>
    <w:rsid w:val="001E46D6"/>
    <w:rsid w:val="00203D43"/>
    <w:rsid w:val="00225814"/>
    <w:rsid w:val="002514B9"/>
    <w:rsid w:val="00265D5A"/>
    <w:rsid w:val="00271898"/>
    <w:rsid w:val="0029547E"/>
    <w:rsid w:val="002C103B"/>
    <w:rsid w:val="00315B8A"/>
    <w:rsid w:val="00346C52"/>
    <w:rsid w:val="0035235C"/>
    <w:rsid w:val="00362979"/>
    <w:rsid w:val="00367D8C"/>
    <w:rsid w:val="00376AF3"/>
    <w:rsid w:val="003773BE"/>
    <w:rsid w:val="00390B48"/>
    <w:rsid w:val="0039119F"/>
    <w:rsid w:val="003A48DF"/>
    <w:rsid w:val="003B1FED"/>
    <w:rsid w:val="003B331B"/>
    <w:rsid w:val="003D2C42"/>
    <w:rsid w:val="004101E3"/>
    <w:rsid w:val="00433AED"/>
    <w:rsid w:val="00442F10"/>
    <w:rsid w:val="0047529D"/>
    <w:rsid w:val="004C3944"/>
    <w:rsid w:val="004C671B"/>
    <w:rsid w:val="004D2310"/>
    <w:rsid w:val="00532275"/>
    <w:rsid w:val="00537317"/>
    <w:rsid w:val="00550C8F"/>
    <w:rsid w:val="0055686D"/>
    <w:rsid w:val="005718E3"/>
    <w:rsid w:val="00585B5C"/>
    <w:rsid w:val="005B388C"/>
    <w:rsid w:val="006302EA"/>
    <w:rsid w:val="00640988"/>
    <w:rsid w:val="00666E4F"/>
    <w:rsid w:val="00682289"/>
    <w:rsid w:val="0068451C"/>
    <w:rsid w:val="006975D6"/>
    <w:rsid w:val="006D0AF0"/>
    <w:rsid w:val="006E5E8C"/>
    <w:rsid w:val="006F544A"/>
    <w:rsid w:val="00762236"/>
    <w:rsid w:val="007B7E90"/>
    <w:rsid w:val="007D50B8"/>
    <w:rsid w:val="007E0688"/>
    <w:rsid w:val="00802D03"/>
    <w:rsid w:val="00804D65"/>
    <w:rsid w:val="008171A9"/>
    <w:rsid w:val="0081747C"/>
    <w:rsid w:val="0083262C"/>
    <w:rsid w:val="0086486C"/>
    <w:rsid w:val="008B1B3D"/>
    <w:rsid w:val="008B5BC4"/>
    <w:rsid w:val="008C2E00"/>
    <w:rsid w:val="008D2290"/>
    <w:rsid w:val="008D7599"/>
    <w:rsid w:val="00944A20"/>
    <w:rsid w:val="00956118"/>
    <w:rsid w:val="009A35BA"/>
    <w:rsid w:val="009A7FD0"/>
    <w:rsid w:val="009D271C"/>
    <w:rsid w:val="009D7F5E"/>
    <w:rsid w:val="009E6FF7"/>
    <w:rsid w:val="00A04754"/>
    <w:rsid w:val="00A26240"/>
    <w:rsid w:val="00A444BE"/>
    <w:rsid w:val="00A56516"/>
    <w:rsid w:val="00A7054C"/>
    <w:rsid w:val="00A83C17"/>
    <w:rsid w:val="00AB59D5"/>
    <w:rsid w:val="00AD626A"/>
    <w:rsid w:val="00AE7711"/>
    <w:rsid w:val="00B00F4B"/>
    <w:rsid w:val="00B26224"/>
    <w:rsid w:val="00B81E07"/>
    <w:rsid w:val="00B8601E"/>
    <w:rsid w:val="00BB2160"/>
    <w:rsid w:val="00BE5488"/>
    <w:rsid w:val="00BE6E7F"/>
    <w:rsid w:val="00BE6ED4"/>
    <w:rsid w:val="00C168FD"/>
    <w:rsid w:val="00C327DC"/>
    <w:rsid w:val="00C47143"/>
    <w:rsid w:val="00C52F7F"/>
    <w:rsid w:val="00C73071"/>
    <w:rsid w:val="00C733D7"/>
    <w:rsid w:val="00CA7504"/>
    <w:rsid w:val="00CC49D3"/>
    <w:rsid w:val="00CC5350"/>
    <w:rsid w:val="00CD52E9"/>
    <w:rsid w:val="00CE0CB9"/>
    <w:rsid w:val="00CF2E6C"/>
    <w:rsid w:val="00CF346A"/>
    <w:rsid w:val="00D11671"/>
    <w:rsid w:val="00D1495F"/>
    <w:rsid w:val="00D37A7C"/>
    <w:rsid w:val="00D422B3"/>
    <w:rsid w:val="00D42F77"/>
    <w:rsid w:val="00D7277F"/>
    <w:rsid w:val="00D9535F"/>
    <w:rsid w:val="00D96C55"/>
    <w:rsid w:val="00DA09AB"/>
    <w:rsid w:val="00DA16A8"/>
    <w:rsid w:val="00DC12F3"/>
    <w:rsid w:val="00DF0AD3"/>
    <w:rsid w:val="00DF5651"/>
    <w:rsid w:val="00E2263F"/>
    <w:rsid w:val="00E50546"/>
    <w:rsid w:val="00E575C8"/>
    <w:rsid w:val="00E724FA"/>
    <w:rsid w:val="00E82356"/>
    <w:rsid w:val="00E9327F"/>
    <w:rsid w:val="00EA6677"/>
    <w:rsid w:val="00ED1C64"/>
    <w:rsid w:val="00F003E4"/>
    <w:rsid w:val="00F041BE"/>
    <w:rsid w:val="00F0551F"/>
    <w:rsid w:val="00F135B1"/>
    <w:rsid w:val="00F167FA"/>
    <w:rsid w:val="00F274E4"/>
    <w:rsid w:val="00F30572"/>
    <w:rsid w:val="00F42325"/>
    <w:rsid w:val="00F53261"/>
    <w:rsid w:val="00F7226A"/>
    <w:rsid w:val="00F82C60"/>
    <w:rsid w:val="00F95455"/>
    <w:rsid w:val="00FB0724"/>
    <w:rsid w:val="00FB4FB9"/>
    <w:rsid w:val="00FE0390"/>
    <w:rsid w:val="020965AA"/>
    <w:rsid w:val="02712F12"/>
    <w:rsid w:val="02AB14E6"/>
    <w:rsid w:val="02FA438B"/>
    <w:rsid w:val="03A74512"/>
    <w:rsid w:val="04461F7D"/>
    <w:rsid w:val="0584418A"/>
    <w:rsid w:val="05B55C2C"/>
    <w:rsid w:val="06330F55"/>
    <w:rsid w:val="071023CF"/>
    <w:rsid w:val="07391925"/>
    <w:rsid w:val="07834FAC"/>
    <w:rsid w:val="07B832B0"/>
    <w:rsid w:val="07CD661E"/>
    <w:rsid w:val="09A80FE4"/>
    <w:rsid w:val="09A908B8"/>
    <w:rsid w:val="09D42D14"/>
    <w:rsid w:val="0A1F05FD"/>
    <w:rsid w:val="0B845AE1"/>
    <w:rsid w:val="0C032502"/>
    <w:rsid w:val="0D2F7D6D"/>
    <w:rsid w:val="0EAA4EB7"/>
    <w:rsid w:val="0EFD7918"/>
    <w:rsid w:val="0F962C82"/>
    <w:rsid w:val="0FEE7C17"/>
    <w:rsid w:val="106273DD"/>
    <w:rsid w:val="10CF633D"/>
    <w:rsid w:val="115B2158"/>
    <w:rsid w:val="12A644BF"/>
    <w:rsid w:val="12AF1625"/>
    <w:rsid w:val="139A0200"/>
    <w:rsid w:val="13F53078"/>
    <w:rsid w:val="14107459"/>
    <w:rsid w:val="14467343"/>
    <w:rsid w:val="1543201F"/>
    <w:rsid w:val="15634011"/>
    <w:rsid w:val="161B2FF8"/>
    <w:rsid w:val="163F3608"/>
    <w:rsid w:val="16842491"/>
    <w:rsid w:val="16E949A3"/>
    <w:rsid w:val="17A9239D"/>
    <w:rsid w:val="17B7475B"/>
    <w:rsid w:val="17C31ABF"/>
    <w:rsid w:val="18990982"/>
    <w:rsid w:val="18AB3691"/>
    <w:rsid w:val="1A7C143C"/>
    <w:rsid w:val="1BC908AC"/>
    <w:rsid w:val="1BEE3E72"/>
    <w:rsid w:val="1EA13C7C"/>
    <w:rsid w:val="1ECE4CFF"/>
    <w:rsid w:val="1FC3321F"/>
    <w:rsid w:val="1FD47844"/>
    <w:rsid w:val="20267EAB"/>
    <w:rsid w:val="20A8373D"/>
    <w:rsid w:val="21415B4F"/>
    <w:rsid w:val="2178513F"/>
    <w:rsid w:val="22240582"/>
    <w:rsid w:val="226508ED"/>
    <w:rsid w:val="22D537DE"/>
    <w:rsid w:val="23403FBD"/>
    <w:rsid w:val="23A811B5"/>
    <w:rsid w:val="23DA61D0"/>
    <w:rsid w:val="23E61F73"/>
    <w:rsid w:val="24177733"/>
    <w:rsid w:val="24BB759F"/>
    <w:rsid w:val="24E1197A"/>
    <w:rsid w:val="24FD7191"/>
    <w:rsid w:val="25951099"/>
    <w:rsid w:val="266D6A9E"/>
    <w:rsid w:val="27FA3EB0"/>
    <w:rsid w:val="29A01E88"/>
    <w:rsid w:val="29BB59A9"/>
    <w:rsid w:val="2A3D1DF6"/>
    <w:rsid w:val="2B195437"/>
    <w:rsid w:val="2BA03472"/>
    <w:rsid w:val="2CC271EC"/>
    <w:rsid w:val="2DE41BB8"/>
    <w:rsid w:val="2E9213EE"/>
    <w:rsid w:val="2E996D68"/>
    <w:rsid w:val="2EA52F70"/>
    <w:rsid w:val="2EDA7BD4"/>
    <w:rsid w:val="2F2E6FE6"/>
    <w:rsid w:val="2F766FA5"/>
    <w:rsid w:val="306348B2"/>
    <w:rsid w:val="32A3559F"/>
    <w:rsid w:val="34154ACD"/>
    <w:rsid w:val="34C64EFA"/>
    <w:rsid w:val="35486327"/>
    <w:rsid w:val="363D7B36"/>
    <w:rsid w:val="369E2DBA"/>
    <w:rsid w:val="36BB5A53"/>
    <w:rsid w:val="3771016C"/>
    <w:rsid w:val="3786044D"/>
    <w:rsid w:val="37A12A4B"/>
    <w:rsid w:val="38C8225A"/>
    <w:rsid w:val="3B721154"/>
    <w:rsid w:val="3BF47B16"/>
    <w:rsid w:val="3C177780"/>
    <w:rsid w:val="3C192168"/>
    <w:rsid w:val="3C5C324C"/>
    <w:rsid w:val="3D4414A3"/>
    <w:rsid w:val="3DB654F6"/>
    <w:rsid w:val="3EE856DB"/>
    <w:rsid w:val="40570D12"/>
    <w:rsid w:val="40712E37"/>
    <w:rsid w:val="40A56CB3"/>
    <w:rsid w:val="40B15448"/>
    <w:rsid w:val="43EB6A62"/>
    <w:rsid w:val="44F468B0"/>
    <w:rsid w:val="459E202E"/>
    <w:rsid w:val="45AA1EF9"/>
    <w:rsid w:val="464E5216"/>
    <w:rsid w:val="469534A2"/>
    <w:rsid w:val="46C43305"/>
    <w:rsid w:val="46E412D2"/>
    <w:rsid w:val="47A4326F"/>
    <w:rsid w:val="48662CAB"/>
    <w:rsid w:val="48E172A3"/>
    <w:rsid w:val="49582B5A"/>
    <w:rsid w:val="4A3F241A"/>
    <w:rsid w:val="4AB443EC"/>
    <w:rsid w:val="4B115DA6"/>
    <w:rsid w:val="4BED6BAE"/>
    <w:rsid w:val="4C08672F"/>
    <w:rsid w:val="4C934C01"/>
    <w:rsid w:val="4DC1579E"/>
    <w:rsid w:val="4E2F5E56"/>
    <w:rsid w:val="4E481A1B"/>
    <w:rsid w:val="4E664CA7"/>
    <w:rsid w:val="4E7A7DCF"/>
    <w:rsid w:val="4EBA5CCF"/>
    <w:rsid w:val="4F035942"/>
    <w:rsid w:val="4FDF3A0A"/>
    <w:rsid w:val="5004295F"/>
    <w:rsid w:val="517B3EB5"/>
    <w:rsid w:val="520E306E"/>
    <w:rsid w:val="532C06D7"/>
    <w:rsid w:val="538A5547"/>
    <w:rsid w:val="544E58B1"/>
    <w:rsid w:val="54633683"/>
    <w:rsid w:val="546D64ED"/>
    <w:rsid w:val="54C07FA2"/>
    <w:rsid w:val="55CE0A58"/>
    <w:rsid w:val="55FD30EB"/>
    <w:rsid w:val="56893385"/>
    <w:rsid w:val="57517B92"/>
    <w:rsid w:val="5A666541"/>
    <w:rsid w:val="5A904A34"/>
    <w:rsid w:val="5BB84AB2"/>
    <w:rsid w:val="5BDD7559"/>
    <w:rsid w:val="5BF22FC6"/>
    <w:rsid w:val="5DA238B4"/>
    <w:rsid w:val="5E297CE1"/>
    <w:rsid w:val="61A307B5"/>
    <w:rsid w:val="620159BD"/>
    <w:rsid w:val="621E68C3"/>
    <w:rsid w:val="637644DD"/>
    <w:rsid w:val="637F1862"/>
    <w:rsid w:val="63BF40D6"/>
    <w:rsid w:val="64396DFC"/>
    <w:rsid w:val="64896393"/>
    <w:rsid w:val="6598309D"/>
    <w:rsid w:val="6653099E"/>
    <w:rsid w:val="66650F64"/>
    <w:rsid w:val="672273D3"/>
    <w:rsid w:val="673B5754"/>
    <w:rsid w:val="67EC1094"/>
    <w:rsid w:val="68213F33"/>
    <w:rsid w:val="6846705D"/>
    <w:rsid w:val="68AB000C"/>
    <w:rsid w:val="68EA39A3"/>
    <w:rsid w:val="694E41F0"/>
    <w:rsid w:val="69C82763"/>
    <w:rsid w:val="6A243351"/>
    <w:rsid w:val="6A9338E8"/>
    <w:rsid w:val="6AA17770"/>
    <w:rsid w:val="6B00522A"/>
    <w:rsid w:val="6DE4511F"/>
    <w:rsid w:val="6E4B22E8"/>
    <w:rsid w:val="6E9677B5"/>
    <w:rsid w:val="6EA13F1A"/>
    <w:rsid w:val="709C207A"/>
    <w:rsid w:val="711335D5"/>
    <w:rsid w:val="72CA46A5"/>
    <w:rsid w:val="72D11E05"/>
    <w:rsid w:val="733B5B1B"/>
    <w:rsid w:val="73A449BF"/>
    <w:rsid w:val="75782BA1"/>
    <w:rsid w:val="7626567D"/>
    <w:rsid w:val="76960CC6"/>
    <w:rsid w:val="775267A6"/>
    <w:rsid w:val="7905279F"/>
    <w:rsid w:val="790D2426"/>
    <w:rsid w:val="79BB036C"/>
    <w:rsid w:val="7A6A32E4"/>
    <w:rsid w:val="7C457CB6"/>
    <w:rsid w:val="7C59472B"/>
    <w:rsid w:val="7CA7776D"/>
    <w:rsid w:val="7D2F6F1D"/>
    <w:rsid w:val="7EC51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9"/>
    <w:unhideWhenUsed/>
    <w:qFormat/>
    <w:uiPriority w:val="99"/>
    <w:rPr>
      <w:rFonts w:eastAsia="仿宋_GB2312"/>
      <w:sz w:val="32"/>
    </w:rPr>
  </w:style>
  <w:style w:type="paragraph" w:styleId="9">
    <w:name w:val="Body Text First Indent"/>
    <w:basedOn w:val="8"/>
    <w:unhideWhenUsed/>
    <w:qFormat/>
    <w:uiPriority w:val="99"/>
    <w:pPr>
      <w:ind w:firstLine="420" w:firstLineChars="100"/>
    </w:pPr>
  </w:style>
  <w:style w:type="paragraph" w:styleId="10">
    <w:name w:val="Body Text Indent"/>
    <w:basedOn w:val="1"/>
    <w:semiHidden/>
    <w:unhideWhenUsed/>
    <w:qFormat/>
    <w:uiPriority w:val="99"/>
    <w:pPr>
      <w:spacing w:after="120"/>
      <w:ind w:left="420" w:leftChars="200"/>
    </w:pPr>
  </w:style>
  <w:style w:type="paragraph" w:styleId="11">
    <w:name w:val="Balloon Text"/>
    <w:basedOn w:val="1"/>
    <w:link w:val="27"/>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2"/>
    <w:basedOn w:val="10"/>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Emphasis"/>
    <w:basedOn w:val="18"/>
    <w:qFormat/>
    <w:uiPriority w:val="20"/>
    <w:rPr>
      <w:i/>
    </w:rPr>
  </w:style>
  <w:style w:type="character" w:styleId="22">
    <w:name w:val="Hyperlink"/>
    <w:basedOn w:val="18"/>
    <w:semiHidden/>
    <w:unhideWhenUsed/>
    <w:qFormat/>
    <w:uiPriority w:val="99"/>
    <w:rPr>
      <w:color w:val="0000FF"/>
      <w:u w:val="single"/>
    </w:rPr>
  </w:style>
  <w:style w:type="character" w:customStyle="1" w:styleId="23">
    <w:name w:val="页眉 Char"/>
    <w:basedOn w:val="18"/>
    <w:link w:val="13"/>
    <w:qFormat/>
    <w:uiPriority w:val="99"/>
    <w:rPr>
      <w:sz w:val="18"/>
      <w:szCs w:val="18"/>
    </w:rPr>
  </w:style>
  <w:style w:type="character" w:customStyle="1" w:styleId="24">
    <w:name w:val="页脚 Char"/>
    <w:basedOn w:val="18"/>
    <w:link w:val="12"/>
    <w:qFormat/>
    <w:uiPriority w:val="99"/>
    <w:rPr>
      <w:sz w:val="18"/>
      <w:szCs w:val="18"/>
    </w:rPr>
  </w:style>
  <w:style w:type="paragraph" w:customStyle="1" w:styleId="2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标题 4 Char"/>
    <w:basedOn w:val="18"/>
    <w:link w:val="4"/>
    <w:qFormat/>
    <w:uiPriority w:val="9"/>
    <w:rPr>
      <w:rFonts w:ascii="宋体" w:hAnsi="宋体" w:eastAsia="宋体" w:cs="宋体"/>
      <w:b/>
      <w:bCs/>
      <w:kern w:val="0"/>
      <w:sz w:val="24"/>
      <w:szCs w:val="24"/>
    </w:rPr>
  </w:style>
  <w:style w:type="character" w:customStyle="1" w:styleId="27">
    <w:name w:val="批注框文本 Char"/>
    <w:basedOn w:val="18"/>
    <w:link w:val="11"/>
    <w:semiHidden/>
    <w:qFormat/>
    <w:uiPriority w:val="99"/>
    <w:rPr>
      <w:sz w:val="18"/>
      <w:szCs w:val="18"/>
    </w:rPr>
  </w:style>
  <w:style w:type="paragraph" w:styleId="28">
    <w:name w:val="List Paragraph"/>
    <w:basedOn w:val="1"/>
    <w:qFormat/>
    <w:uiPriority w:val="34"/>
    <w:pPr>
      <w:ind w:firstLine="420" w:firstLineChars="200"/>
    </w:pPr>
  </w:style>
  <w:style w:type="paragraph" w:customStyle="1" w:styleId="29">
    <w:name w:val="Char Char Char1 Char"/>
    <w:basedOn w:val="1"/>
    <w:qFormat/>
    <w:uiPriority w:val="0"/>
    <w:rPr>
      <w:szCs w:val="20"/>
    </w:rPr>
  </w:style>
  <w:style w:type="paragraph" w:customStyle="1" w:styleId="30">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style>
  <w:style w:type="character" w:customStyle="1" w:styleId="31">
    <w:name w:val="any"/>
    <w:basedOn w:val="18"/>
    <w:qFormat/>
    <w:uiPriority w:val="0"/>
  </w:style>
  <w:style w:type="character" w:customStyle="1" w:styleId="32">
    <w:name w:val="span_sect2Title"/>
    <w:basedOn w:val="18"/>
    <w:qFormat/>
    <w:uiPriority w:val="0"/>
    <w:rPr>
      <w:b/>
      <w:bCs/>
    </w:rPr>
  </w:style>
  <w:style w:type="paragraph" w:customStyle="1" w:styleId="33">
    <w:name w:val="Table Paragraph"/>
    <w:basedOn w:val="1"/>
    <w:qFormat/>
    <w:uiPriority w:val="1"/>
    <w:rPr>
      <w:rFonts w:ascii="仿宋_GB2312" w:hAnsi="仿宋_GB2312" w:eastAsia="仿宋_GB2312" w:cs="仿宋_GB2312"/>
      <w:lang w:val="zh-CN" w:eastAsia="zh-CN" w:bidi="zh-CN"/>
    </w:rPr>
  </w:style>
  <w:style w:type="table" w:customStyle="1" w:styleId="34">
    <w:name w:val="Table Normal"/>
    <w:unhideWhenUsed/>
    <w:qFormat/>
    <w:uiPriority w:val="0"/>
    <w:tblPr>
      <w:tblCellMar>
        <w:top w:w="0" w:type="dxa"/>
        <w:left w:w="0" w:type="dxa"/>
        <w:bottom w:w="0" w:type="dxa"/>
        <w:right w:w="0" w:type="dxa"/>
      </w:tblCellMar>
    </w:tblPr>
  </w:style>
  <w:style w:type="character" w:customStyle="1" w:styleId="35">
    <w:name w:val="font71"/>
    <w:basedOn w:val="18"/>
    <w:qFormat/>
    <w:uiPriority w:val="0"/>
    <w:rPr>
      <w:rFonts w:hint="eastAsia" w:ascii="仿宋_GB2312" w:eastAsia="仿宋_GB2312" w:cs="仿宋_GB2312"/>
      <w:color w:val="333333"/>
      <w:sz w:val="24"/>
      <w:szCs w:val="24"/>
      <w:u w:val="none"/>
    </w:rPr>
  </w:style>
  <w:style w:type="character" w:customStyle="1" w:styleId="36">
    <w:name w:val="font161"/>
    <w:basedOn w:val="1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3bc29668-c2cf-4024-afc2-fe823f0f9d0e</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158E46D8</paraID>
      <start>73</start>
      <end>78</end>
      <status>ignored</status>
      <modifiedWord/>
      <trackRevisions>false</trackRevisions>
    </reviewItem>
    <reviewItem>
      <errorID>dacd47f0-cc02-4706-b1cd-46a24227a24d</errorID>
      <errorWord>《政府采购法》</errorWord>
      <group>L1_Word</group>
      <groupName>字词问题</groupName>
      <ability>L2_Typo</ability>
      <abilityName>字词错误</abilityName>
      <candidateList>
        <item>《中华人民共和国政府采购法》</item>
      </candidateList>
      <explain/>
      <paraID>158E46D8</paraID>
      <start>86</start>
      <end>93</end>
      <status>ignored</status>
      <modifiedWord/>
      <trackRevisions>false</trackRevisions>
    </reviewItem>
    <reviewItem>
      <errorID>66f54c4d-6af8-482f-abdf-9bb4bdc1f333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660FE7FA</paraID>
      <start>13</start>
      <end>15</end>
      <status>ignored</status>
      <modifiedWord/>
      <trackRevisions>false</trackRevisions>
    </reviewItem>
  </reviewItems>
  <config/>
</contractReview>
</file>

<file path=customXml/itemProps1.xml><?xml version="1.0" encoding="utf-8"?>
<ds:datastoreItem xmlns:ds="http://schemas.openxmlformats.org/officeDocument/2006/customXml" ds:itemID="{67b4e756-c8e0-46b8-9d02-70ac8c7969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8504</Words>
  <Characters>8597</Characters>
  <Lines>17</Lines>
  <Paragraphs>4</Paragraphs>
  <TotalTime>57</TotalTime>
  <ScaleCrop>false</ScaleCrop>
  <LinksUpToDate>false</LinksUpToDate>
  <CharactersWithSpaces>8956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2018-04-02T01:35:00Z</dcterms:created>
  <dc:creator>user</dc:creator>
  <cp:lastModifiedBy>周腾龙</cp:lastModifiedBy>
  <cp:lastPrinted>2026-05-07T03:23:48Z</cp:lastPrinted>
  <dcterms:modified xsi:type="dcterms:W3CDTF">2026-05-07T03:25:30Z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B5979E28865240CB85625B63BDA49363_13</vt:lpwstr>
  </property>
  <property fmtid="{D5CDD505-2E9C-101B-9397-08002B2CF9AE}" pid="4" name="KSOTemplateDocerSaveRecord">
    <vt:lpwstr>eyJoZGlkIjoiY2E5NDhiMGE1YzFhM2YyNDM5MDQ1OTUyZTRhOGVjMWIiLCJ1c2VySWQiOiIxNDc2NzA3NDgzIn0=</vt:lpwstr>
  </property>
</Properties>
</file>