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ind w:firstLine="0" w:firstLineChars="0"/>
        <w:rPr>
          <w:rFonts w:hint="eastAsia"/>
          <w:b/>
          <w:lang w:val="en-US" w:eastAsia="zh-CN"/>
        </w:rPr>
      </w:pPr>
    </w:p>
    <w:p>
      <w:pPr>
        <w:pStyle w:val="21"/>
        <w:spacing w:before="0"/>
        <w:ind w:firstLine="0" w:firstLineChars="0"/>
        <w:rPr>
          <w:rFonts w:hint="eastAsia"/>
          <w:b/>
          <w:lang w:val="en-US" w:eastAsia="zh-CN"/>
        </w:rPr>
      </w:pPr>
    </w:p>
    <w:p>
      <w:pPr>
        <w:pStyle w:val="21"/>
        <w:spacing w:before="0"/>
        <w:ind w:firstLine="0" w:firstLineChars="0"/>
        <w:rPr>
          <w:rFonts w:hint="eastAsia"/>
          <w:b/>
          <w:lang w:val="en-US" w:eastAsia="zh-CN"/>
        </w:rPr>
      </w:pPr>
    </w:p>
    <w:p>
      <w:pPr>
        <w:pStyle w:val="21"/>
        <w:spacing w:before="0"/>
        <w:ind w:firstLine="0" w:firstLineChars="0"/>
        <w:rPr>
          <w:rFonts w:hint="eastAsia"/>
          <w:b/>
          <w:lang w:val="en-US" w:eastAsia="zh-CN"/>
        </w:rPr>
      </w:pPr>
    </w:p>
    <w:p>
      <w:pPr>
        <w:pStyle w:val="21"/>
        <w:spacing w:before="0"/>
        <w:ind w:firstLine="0" w:firstLineChars="0"/>
        <w:rPr>
          <w:b/>
        </w:rPr>
      </w:pPr>
      <w:r>
        <w:rPr>
          <w:rFonts w:hint="eastAsia"/>
          <w:b/>
          <w:lang w:val="en-US" w:eastAsia="zh-CN"/>
        </w:rPr>
        <w:t>自治区</w:t>
      </w:r>
      <w:r>
        <w:rPr>
          <w:rFonts w:hint="eastAsia"/>
          <w:b/>
        </w:rPr>
        <w:t>房屋建筑和市政基础设施工程交易系统</w:t>
      </w:r>
      <w:r>
        <w:rPr>
          <w:rFonts w:hint="eastAsia"/>
          <w:b/>
          <w:lang w:val="en-US" w:eastAsia="zh-CN"/>
        </w:rPr>
        <w:t>符合性校验</w:t>
      </w:r>
      <w:r>
        <w:rPr>
          <w:b/>
        </w:rPr>
        <w:t>技术规范</w:t>
      </w: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1"/>
        <w:spacing w:before="0"/>
        <w:ind w:firstLine="0" w:firstLineChars="0"/>
        <w:rPr>
          <w:b/>
        </w:rPr>
      </w:pPr>
    </w:p>
    <w:p>
      <w:pPr>
        <w:pStyle w:val="23"/>
        <w:ind w:firstLine="0" w:firstLineChars="0"/>
      </w:pPr>
    </w:p>
    <w:p>
      <w:pPr>
        <w:pStyle w:val="23"/>
        <w:ind w:firstLine="0" w:firstLineChars="0"/>
      </w:pPr>
      <w:r>
        <w:t>目</w:t>
      </w:r>
      <w:r>
        <w:rPr>
          <w:rFonts w:hint="eastAsia" w:eastAsiaTheme="minorEastAsia"/>
          <w:lang w:eastAsia="zh-CN"/>
        </w:rPr>
        <w:t xml:space="preserve">  </w:t>
      </w:r>
      <w:r>
        <w:t>录</w:t>
      </w:r>
    </w:p>
    <w:p>
      <w:pPr>
        <w:pStyle w:val="23"/>
        <w:ind w:firstLine="0" w:firstLineChars="0"/>
        <w:rPr>
          <w:rFonts w:hint="eastAsia"/>
          <w:lang w:eastAsia="zh-CN"/>
        </w:rPr>
      </w:pPr>
    </w:p>
    <w:p>
      <w:pPr>
        <w:pStyle w:val="12"/>
        <w:tabs>
          <w:tab w:val="right" w:leader="dot" w:pos="8838"/>
        </w:tabs>
      </w:pPr>
      <w:r>
        <w:fldChar w:fldCharType="begin"/>
      </w:r>
      <w:r>
        <w:instrText xml:space="preserve">TOC \o "1-3" \h \u </w:instrText>
      </w:r>
      <w:r>
        <w:fldChar w:fldCharType="separate"/>
      </w:r>
      <w:r>
        <w:fldChar w:fldCharType="begin"/>
      </w:r>
      <w:r>
        <w:instrText xml:space="preserve"> HYPERLINK \l _Toc31212 </w:instrText>
      </w:r>
      <w:r>
        <w:fldChar w:fldCharType="separate"/>
      </w:r>
      <w:r>
        <w:rPr>
          <w:rFonts w:ascii="Times New Roman" w:hAnsi="Times New Roman" w:eastAsia="Times New Roman" w:cs="Times New Roman"/>
          <w:bCs/>
          <w:i w:val="0"/>
          <w:iCs w:val="0"/>
          <w:smallCaps w:val="0"/>
          <w:strike w:val="0"/>
          <w:spacing w:val="0"/>
          <w:w w:val="100"/>
          <w:position w:val="0"/>
          <w:szCs w:val="42"/>
          <w:shd w:val="clear" w:color="auto" w:fill="auto"/>
          <w:lang w:val="en-US" w:eastAsia="en-US" w:bidi="en-US"/>
        </w:rPr>
        <w:t xml:space="preserve">1. </w:t>
      </w:r>
      <w:r>
        <w:t>概述</w:t>
      </w:r>
      <w:r>
        <w:tab/>
      </w:r>
      <w:r>
        <w:fldChar w:fldCharType="begin"/>
      </w:r>
      <w:r>
        <w:instrText xml:space="preserve"> PAGEREF _Toc31212 \h </w:instrText>
      </w:r>
      <w:r>
        <w:fldChar w:fldCharType="separate"/>
      </w:r>
      <w:r>
        <w:t>4</w:t>
      </w:r>
      <w:r>
        <w:fldChar w:fldCharType="end"/>
      </w:r>
      <w:r>
        <w:fldChar w:fldCharType="end"/>
      </w:r>
    </w:p>
    <w:p>
      <w:pPr>
        <w:pStyle w:val="12"/>
        <w:tabs>
          <w:tab w:val="right" w:leader="dot" w:pos="8838"/>
        </w:tabs>
      </w:pPr>
      <w:r>
        <w:fldChar w:fldCharType="begin"/>
      </w:r>
      <w:r>
        <w:instrText xml:space="preserve"> HYPERLINK \l _Toc5927 </w:instrText>
      </w:r>
      <w:r>
        <w:fldChar w:fldCharType="separate"/>
      </w:r>
      <w:r>
        <w:rPr>
          <w:rFonts w:ascii="Times New Roman" w:hAnsi="Times New Roman" w:eastAsia="Times New Roman" w:cs="Times New Roman"/>
          <w:bCs/>
          <w:i w:val="0"/>
          <w:iCs w:val="0"/>
          <w:smallCaps w:val="0"/>
          <w:strike w:val="0"/>
          <w:spacing w:val="0"/>
          <w:w w:val="100"/>
          <w:position w:val="0"/>
          <w:szCs w:val="42"/>
          <w:shd w:val="clear" w:color="auto" w:fill="auto"/>
          <w:lang w:val="en-US" w:eastAsia="en-US" w:bidi="en-US"/>
        </w:rPr>
        <w:t xml:space="preserve">2. </w:t>
      </w:r>
      <w:r>
        <w:t>参考文件</w:t>
      </w:r>
      <w:r>
        <w:tab/>
      </w:r>
      <w:r>
        <w:fldChar w:fldCharType="begin"/>
      </w:r>
      <w:r>
        <w:instrText xml:space="preserve"> PAGEREF _Toc5927 \h </w:instrText>
      </w:r>
      <w:r>
        <w:fldChar w:fldCharType="separate"/>
      </w:r>
      <w:r>
        <w:t>4</w:t>
      </w:r>
      <w:r>
        <w:fldChar w:fldCharType="end"/>
      </w:r>
      <w:r>
        <w:fldChar w:fldCharType="end"/>
      </w:r>
    </w:p>
    <w:p>
      <w:pPr>
        <w:pStyle w:val="12"/>
        <w:tabs>
          <w:tab w:val="right" w:leader="dot" w:pos="8838"/>
        </w:tabs>
      </w:pPr>
      <w:r>
        <w:fldChar w:fldCharType="begin"/>
      </w:r>
      <w:r>
        <w:instrText xml:space="preserve"> HYPERLINK \l _Toc13281 </w:instrText>
      </w:r>
      <w:r>
        <w:fldChar w:fldCharType="separate"/>
      </w:r>
      <w:r>
        <w:rPr>
          <w:rFonts w:ascii="Times New Roman" w:hAnsi="Times New Roman" w:eastAsia="Times New Roman" w:cs="Times New Roman"/>
          <w:bCs/>
          <w:i w:val="0"/>
          <w:iCs w:val="0"/>
          <w:smallCaps w:val="0"/>
          <w:strike w:val="0"/>
          <w:spacing w:val="0"/>
          <w:w w:val="100"/>
          <w:position w:val="0"/>
          <w:szCs w:val="42"/>
          <w:shd w:val="clear" w:color="auto" w:fill="auto"/>
          <w:lang w:val="en-US" w:eastAsia="en-US" w:bidi="en-US"/>
        </w:rPr>
        <w:t xml:space="preserve">3. </w:t>
      </w:r>
      <w:r>
        <w:rPr>
          <w:rFonts w:hint="eastAsia"/>
          <w:lang w:val="en-US" w:eastAsia="zh-CN"/>
        </w:rPr>
        <w:t>校验</w:t>
      </w:r>
      <w:r>
        <w:t>规范</w:t>
      </w:r>
      <w:r>
        <w:tab/>
      </w:r>
      <w:r>
        <w:fldChar w:fldCharType="begin"/>
      </w:r>
      <w:r>
        <w:instrText xml:space="preserve"> PAGEREF _Toc13281 \h </w:instrText>
      </w:r>
      <w:r>
        <w:fldChar w:fldCharType="separate"/>
      </w:r>
      <w:r>
        <w:t>4</w:t>
      </w:r>
      <w:r>
        <w:fldChar w:fldCharType="end"/>
      </w:r>
      <w:r>
        <w:fldChar w:fldCharType="end"/>
      </w:r>
    </w:p>
    <w:p>
      <w:pPr>
        <w:pStyle w:val="14"/>
        <w:tabs>
          <w:tab w:val="right" w:leader="dot" w:pos="8838"/>
        </w:tabs>
        <w:ind w:left="0" w:leftChars="0" w:firstLine="0" w:firstLineChars="0"/>
      </w:pPr>
      <w:r>
        <w:fldChar w:fldCharType="begin"/>
      </w:r>
      <w:r>
        <w:instrText xml:space="preserve"> HYPERLINK \l _Toc1640 </w:instrText>
      </w:r>
      <w:r>
        <w:fldChar w:fldCharType="separate"/>
      </w:r>
      <w:r>
        <w:rPr>
          <w:lang w:val="en-US" w:eastAsia="en-US"/>
        </w:rPr>
        <w:t>3.1</w:t>
      </w:r>
      <w:r>
        <w:rPr>
          <w:rFonts w:hint="eastAsia"/>
          <w:lang w:val="en-US" w:eastAsia="zh-CN"/>
        </w:rPr>
        <w:t xml:space="preserve"> 校验</w:t>
      </w:r>
      <w:r>
        <w:t>准则</w:t>
      </w:r>
      <w:r>
        <w:tab/>
      </w:r>
      <w:r>
        <w:fldChar w:fldCharType="begin"/>
      </w:r>
      <w:r>
        <w:instrText xml:space="preserve"> PAGEREF _Toc1640 \h </w:instrText>
      </w:r>
      <w:r>
        <w:fldChar w:fldCharType="separate"/>
      </w:r>
      <w:r>
        <w:t>4</w:t>
      </w:r>
      <w:r>
        <w:fldChar w:fldCharType="end"/>
      </w:r>
      <w:r>
        <w:fldChar w:fldCharType="end"/>
      </w:r>
    </w:p>
    <w:p>
      <w:pPr>
        <w:pStyle w:val="14"/>
        <w:tabs>
          <w:tab w:val="right" w:leader="dot" w:pos="8838"/>
        </w:tabs>
        <w:ind w:left="0" w:leftChars="0" w:firstLine="0" w:firstLineChars="0"/>
      </w:pPr>
      <w:r>
        <w:fldChar w:fldCharType="begin"/>
      </w:r>
      <w:r>
        <w:instrText xml:space="preserve"> HYPERLINK \l _Toc17121 </w:instrText>
      </w:r>
      <w:r>
        <w:fldChar w:fldCharType="separate"/>
      </w:r>
      <w:r>
        <w:rPr>
          <w:rFonts w:hint="eastAsia"/>
          <w:lang w:val="zh-CN" w:eastAsia="zh-CN"/>
        </w:rPr>
        <w:t>3.2</w:t>
      </w:r>
      <w:r>
        <w:rPr>
          <w:rFonts w:hint="eastAsia"/>
          <w:lang w:val="en-US" w:eastAsia="zh-CN"/>
        </w:rPr>
        <w:t xml:space="preserve">  校验</w:t>
      </w:r>
      <w:r>
        <w:rPr>
          <w:lang w:val="en-US" w:eastAsia="en-US"/>
        </w:rPr>
        <w:t>标准</w:t>
      </w:r>
      <w:r>
        <w:tab/>
      </w:r>
      <w:r>
        <w:fldChar w:fldCharType="begin"/>
      </w:r>
      <w:r>
        <w:instrText xml:space="preserve"> PAGEREF _Toc17121 \h </w:instrText>
      </w:r>
      <w:r>
        <w:fldChar w:fldCharType="separate"/>
      </w:r>
      <w:r>
        <w:t>11</w:t>
      </w:r>
      <w:r>
        <w:fldChar w:fldCharType="end"/>
      </w:r>
      <w:r>
        <w:fldChar w:fldCharType="end"/>
      </w:r>
    </w:p>
    <w:p>
      <w:pPr>
        <w:pStyle w:val="9"/>
        <w:tabs>
          <w:tab w:val="right" w:leader="dot" w:pos="8838"/>
        </w:tabs>
        <w:ind w:left="0" w:leftChars="0" w:firstLine="0" w:firstLineChars="0"/>
      </w:pPr>
      <w:r>
        <w:fldChar w:fldCharType="begin"/>
      </w:r>
      <w:r>
        <w:instrText xml:space="preserve"> HYPERLINK \l _Toc9913 </w:instrText>
      </w:r>
      <w:r>
        <w:fldChar w:fldCharType="separate"/>
      </w:r>
      <w:r>
        <w:rPr>
          <w:lang w:val="en-US" w:eastAsia="zh-CN"/>
        </w:rPr>
        <w:t>3.2.1</w:t>
      </w:r>
      <w:r>
        <w:rPr>
          <w:rFonts w:hint="eastAsia"/>
          <w:lang w:val="en-US" w:eastAsia="zh-CN"/>
        </w:rPr>
        <w:t xml:space="preserve">   </w:t>
      </w:r>
      <w:r>
        <w:t>辅助评标系统基本功能评估标准（100分）</w:t>
      </w:r>
      <w:r>
        <w:tab/>
      </w:r>
      <w:r>
        <w:fldChar w:fldCharType="begin"/>
      </w:r>
      <w:r>
        <w:instrText xml:space="preserve"> PAGEREF _Toc9913 \h </w:instrText>
      </w:r>
      <w:r>
        <w:fldChar w:fldCharType="separate"/>
      </w:r>
      <w:r>
        <w:t>11</w:t>
      </w:r>
      <w:r>
        <w:fldChar w:fldCharType="end"/>
      </w:r>
      <w:r>
        <w:fldChar w:fldCharType="end"/>
      </w:r>
    </w:p>
    <w:p>
      <w:pPr>
        <w:pStyle w:val="9"/>
        <w:tabs>
          <w:tab w:val="right" w:leader="dot" w:pos="8838"/>
        </w:tabs>
        <w:ind w:left="0" w:leftChars="0" w:firstLine="0" w:firstLineChars="0"/>
      </w:pPr>
      <w:r>
        <w:fldChar w:fldCharType="begin"/>
      </w:r>
      <w:r>
        <w:instrText xml:space="preserve"> HYPERLINK \l _Toc20244 </w:instrText>
      </w:r>
      <w:r>
        <w:fldChar w:fldCharType="separate"/>
      </w:r>
      <w:r>
        <w:rPr>
          <w:lang w:val="en-US" w:eastAsia="zh-CN"/>
        </w:rPr>
        <w:t>3.2.2</w:t>
      </w:r>
      <w:r>
        <w:rPr>
          <w:rFonts w:hint="eastAsia"/>
          <w:lang w:val="en-US" w:eastAsia="zh-CN"/>
        </w:rPr>
        <w:t xml:space="preserve">   </w:t>
      </w:r>
      <w:r>
        <w:rPr>
          <w:lang w:val="en-US" w:eastAsia="zh-CN"/>
        </w:rPr>
        <w:t>辅助评标系统技术支撑与保障评估标准（100分）</w:t>
      </w:r>
      <w:r>
        <w:tab/>
      </w:r>
      <w:r>
        <w:fldChar w:fldCharType="begin"/>
      </w:r>
      <w:r>
        <w:instrText xml:space="preserve"> PAGEREF _Toc20244 \h </w:instrText>
      </w:r>
      <w:r>
        <w:fldChar w:fldCharType="separate"/>
      </w:r>
      <w:r>
        <w:t>11</w:t>
      </w:r>
      <w:r>
        <w:fldChar w:fldCharType="end"/>
      </w:r>
      <w:r>
        <w:fldChar w:fldCharType="end"/>
      </w:r>
    </w:p>
    <w:p>
      <w:pPr>
        <w:pStyle w:val="27"/>
        <w:numPr>
          <w:ilvl w:val="2"/>
          <w:numId w:val="1"/>
        </w:numPr>
        <w:tabs>
          <w:tab w:val="left" w:pos="1655"/>
          <w:tab w:val="right" w:leader="dot" w:pos="8274"/>
        </w:tabs>
        <w:ind w:firstLine="0" w:firstLineChars="0"/>
        <w:jc w:val="left"/>
        <w:sectPr>
          <w:headerReference r:id="rId6" w:type="first"/>
          <w:footerReference r:id="rId8" w:type="first"/>
          <w:headerReference r:id="rId5" w:type="default"/>
          <w:footerReference r:id="rId7" w:type="default"/>
          <w:pgSz w:w="11900" w:h="16840"/>
          <w:pgMar w:top="2098" w:right="1531" w:bottom="1985" w:left="1531" w:header="0" w:footer="3" w:gutter="0"/>
          <w:pgBorders>
            <w:top w:val="none" w:sz="0" w:space="0"/>
            <w:left w:val="none" w:sz="0" w:space="0"/>
            <w:bottom w:val="none" w:sz="0" w:space="0"/>
            <w:right w:val="none" w:sz="0" w:space="0"/>
          </w:pgBorders>
          <w:pgNumType w:start="1"/>
          <w:cols w:space="720" w:num="1"/>
          <w:titlePg/>
          <w:docGrid w:linePitch="360" w:charSpace="0"/>
        </w:sectPr>
      </w:pPr>
      <w:r>
        <w:fldChar w:fldCharType="end"/>
      </w:r>
    </w:p>
    <w:p>
      <w:pPr>
        <w:pStyle w:val="33"/>
        <w:spacing w:line="468" w:lineRule="exact"/>
        <w:ind w:firstLine="0" w:firstLineChars="0"/>
        <w:jc w:val="center"/>
        <w:rPr>
          <w:rFonts w:hint="eastAsia"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前</w:t>
      </w:r>
      <w:r>
        <w:rPr>
          <w:rFonts w:hint="eastAsia" w:asciiTheme="minorEastAsia" w:hAnsiTheme="minorEastAsia" w:eastAsiaTheme="minorEastAsia"/>
          <w:b/>
          <w:sz w:val="36"/>
          <w:szCs w:val="36"/>
          <w:lang w:val="en-US" w:eastAsia="zh-CN"/>
        </w:rPr>
        <w:t xml:space="preserve">  </w:t>
      </w:r>
      <w:r>
        <w:rPr>
          <w:rFonts w:hint="eastAsia" w:asciiTheme="minorEastAsia" w:hAnsiTheme="minorEastAsia" w:eastAsiaTheme="minorEastAsia"/>
          <w:b/>
          <w:sz w:val="36"/>
          <w:szCs w:val="36"/>
          <w:lang w:eastAsia="zh-CN"/>
        </w:rPr>
        <w:t>言</w:t>
      </w:r>
    </w:p>
    <w:p>
      <w:pPr>
        <w:pStyle w:val="33"/>
        <w:spacing w:line="468" w:lineRule="exact"/>
        <w:ind w:firstLine="0" w:firstLineChars="0"/>
        <w:jc w:val="both"/>
        <w:rPr>
          <w:rFonts w:hint="eastAsia" w:asciiTheme="minorEastAsia" w:hAnsiTheme="minorEastAsia" w:eastAsiaTheme="minorEastAsia"/>
          <w:b/>
          <w:lang w:eastAsia="zh-CN"/>
        </w:rPr>
      </w:pPr>
    </w:p>
    <w:p>
      <w:pPr>
        <w:pStyle w:val="33"/>
        <w:spacing w:line="468" w:lineRule="exact"/>
        <w:ind w:firstLine="440" w:firstLineChars="200"/>
        <w:jc w:val="both"/>
      </w:pPr>
      <w:r>
        <w:t>《</w:t>
      </w:r>
      <w:r>
        <w:rPr>
          <w:rFonts w:hint="eastAsia"/>
        </w:rPr>
        <w:t>自治区房屋建筑和市政基础设施工程交易系统符合性校验技术规范</w:t>
      </w:r>
      <w:r>
        <w:t>》依据招标投标法律法规规章，规定了</w:t>
      </w:r>
      <w:r>
        <w:rPr>
          <w:rFonts w:hint="eastAsia"/>
        </w:rPr>
        <w:t>交易系统</w:t>
      </w:r>
      <w:r>
        <w:t>的架构、基本功能、技术保障等要求，促进</w:t>
      </w:r>
      <w:r>
        <w:rPr>
          <w:rFonts w:hint="eastAsia"/>
        </w:rPr>
        <w:t>交易系统</w:t>
      </w:r>
      <w:r>
        <w:t>合规性，提高评标活动的便捷性、安全性、规范性 和统一性。</w:t>
      </w:r>
    </w:p>
    <w:p>
      <w:pPr>
        <w:pStyle w:val="33"/>
        <w:spacing w:line="468" w:lineRule="exact"/>
        <w:ind w:firstLine="0" w:firstLineChars="0"/>
        <w:jc w:val="both"/>
        <w:sectPr>
          <w:pgSz w:w="11900" w:h="16840"/>
          <w:pgMar w:top="1442" w:right="1786" w:bottom="1442" w:left="1786" w:header="0" w:footer="3" w:gutter="0"/>
          <w:pgBorders>
            <w:top w:val="none" w:sz="0" w:space="0"/>
            <w:left w:val="none" w:sz="0" w:space="0"/>
            <w:bottom w:val="none" w:sz="0" w:space="0"/>
            <w:right w:val="none" w:sz="0" w:space="0"/>
          </w:pgBorders>
          <w:cols w:space="720" w:num="1"/>
          <w:docGrid w:linePitch="360" w:charSpace="0"/>
        </w:sectPr>
      </w:pPr>
    </w:p>
    <w:p>
      <w:pPr>
        <w:pStyle w:val="4"/>
        <w:keepNext/>
        <w:keepLines/>
        <w:pageBreakBefore w:val="0"/>
        <w:widowControl w:val="0"/>
        <w:numPr>
          <w:ilvl w:val="0"/>
          <w:numId w:val="2"/>
        </w:numPr>
        <w:kinsoku/>
        <w:wordWrap/>
        <w:overflowPunct/>
        <w:topLinePunct w:val="0"/>
        <w:autoSpaceDE/>
        <w:autoSpaceDN/>
        <w:bidi w:val="0"/>
        <w:adjustRightInd/>
        <w:snapToGrid/>
        <w:spacing w:line="560" w:lineRule="exact"/>
        <w:textAlignment w:val="auto"/>
      </w:pPr>
      <w:bookmarkStart w:id="0" w:name="bookmark15"/>
      <w:bookmarkEnd w:id="0"/>
      <w:bookmarkStart w:id="1" w:name="bookmark13"/>
      <w:bookmarkStart w:id="2" w:name="bookmark16"/>
      <w:bookmarkStart w:id="3" w:name="_Toc25747"/>
      <w:r>
        <w:rPr>
          <w:rFonts w:hint="eastAsia" w:eastAsia="宋体"/>
          <w:lang w:val="en-US" w:eastAsia="zh-CN"/>
        </w:rPr>
        <w:t xml:space="preserve"> </w:t>
      </w:r>
      <w:bookmarkStart w:id="4" w:name="_Toc31212"/>
      <w:r>
        <w:t>概述</w:t>
      </w:r>
      <w:bookmarkEnd w:id="1"/>
      <w:bookmarkEnd w:id="2"/>
      <w:bookmarkEnd w:id="3"/>
      <w:bookmarkEnd w:id="4"/>
    </w:p>
    <w:p>
      <w:pPr>
        <w:pStyle w:val="33"/>
        <w:keepNext w:val="0"/>
        <w:keepLines w:val="0"/>
        <w:pageBreakBefore w:val="0"/>
        <w:widowControl w:val="0"/>
        <w:kinsoku/>
        <w:wordWrap/>
        <w:overflowPunct/>
        <w:topLinePunct w:val="0"/>
        <w:autoSpaceDE/>
        <w:autoSpaceDN/>
        <w:bidi w:val="0"/>
        <w:adjustRightInd/>
        <w:snapToGrid/>
        <w:spacing w:line="560" w:lineRule="exact"/>
        <w:ind w:firstLine="440" w:firstLineChars="200"/>
        <w:jc w:val="both"/>
        <w:textAlignment w:val="auto"/>
      </w:pPr>
      <w:r>
        <w:t>本规范规定</w:t>
      </w:r>
      <w:r>
        <w:rPr>
          <w:rFonts w:hint="eastAsia"/>
        </w:rPr>
        <w:t>交易系统</w:t>
      </w:r>
      <w:r>
        <w:t>的结构、</w:t>
      </w:r>
      <w:r>
        <w:rPr>
          <w:color w:val="343649"/>
        </w:rPr>
        <w:t>基本</w:t>
      </w:r>
      <w:r>
        <w:t>功能、技术支撑和保障等方面的要求。规范的作用及目的进行总体描述。</w:t>
      </w:r>
    </w:p>
    <w:p>
      <w:pPr>
        <w:pStyle w:val="4"/>
        <w:keepNext/>
        <w:keepLines/>
        <w:pageBreakBefore w:val="0"/>
        <w:widowControl w:val="0"/>
        <w:numPr>
          <w:ilvl w:val="0"/>
          <w:numId w:val="2"/>
        </w:numPr>
        <w:kinsoku/>
        <w:wordWrap/>
        <w:overflowPunct/>
        <w:topLinePunct w:val="0"/>
        <w:autoSpaceDE/>
        <w:autoSpaceDN/>
        <w:bidi w:val="0"/>
        <w:adjustRightInd/>
        <w:snapToGrid/>
        <w:spacing w:line="560" w:lineRule="exact"/>
        <w:textAlignment w:val="auto"/>
        <w:rPr>
          <w:b/>
        </w:rPr>
      </w:pPr>
      <w:bookmarkStart w:id="5" w:name="bookmark19"/>
      <w:bookmarkEnd w:id="5"/>
      <w:bookmarkStart w:id="6" w:name="_Toc1894"/>
      <w:bookmarkStart w:id="7" w:name="bookmark17"/>
      <w:bookmarkStart w:id="8" w:name="bookmark20"/>
      <w:r>
        <w:rPr>
          <w:rFonts w:hint="eastAsia" w:eastAsia="宋体"/>
          <w:b/>
          <w:lang w:val="en-US" w:eastAsia="zh-CN"/>
        </w:rPr>
        <w:t xml:space="preserve"> </w:t>
      </w:r>
      <w:bookmarkStart w:id="9" w:name="_Toc5927"/>
      <w:r>
        <w:rPr>
          <w:b/>
        </w:rPr>
        <w:t>参考文件</w:t>
      </w:r>
      <w:bookmarkEnd w:id="6"/>
      <w:bookmarkEnd w:id="7"/>
      <w:bookmarkEnd w:id="8"/>
      <w:bookmarkEnd w:id="9"/>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leftChars="200"/>
        <w:textAlignment w:val="auto"/>
      </w:pPr>
      <w:bookmarkStart w:id="10" w:name="bookmark21"/>
      <w:bookmarkEnd w:id="10"/>
      <w:r>
        <w:rPr>
          <w:rFonts w:hint="eastAsia"/>
          <w:lang w:val="en-US" w:eastAsia="zh-CN"/>
        </w:rPr>
        <w:t>1</w:t>
      </w:r>
      <w:r>
        <w:rPr>
          <w:rFonts w:hint="eastAsia"/>
          <w:lang w:eastAsia="zh-CN"/>
        </w:rPr>
        <w:t>、</w:t>
      </w:r>
      <w:r>
        <w:t>《电子招标投标办法》；</w:t>
      </w:r>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leftChars="200"/>
        <w:textAlignment w:val="auto"/>
      </w:pPr>
      <w:bookmarkStart w:id="11" w:name="bookmark22"/>
      <w:bookmarkEnd w:id="11"/>
      <w:r>
        <w:rPr>
          <w:rFonts w:hint="eastAsia"/>
          <w:lang w:val="en-US" w:eastAsia="zh-CN"/>
        </w:rPr>
        <w:t>2、</w:t>
      </w:r>
      <w:r>
        <w:t>《中华人民共和国招标投标法》；</w:t>
      </w:r>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leftChars="200"/>
        <w:textAlignment w:val="auto"/>
      </w:pPr>
      <w:bookmarkStart w:id="12" w:name="bookmark23"/>
      <w:bookmarkEnd w:id="12"/>
      <w:r>
        <w:rPr>
          <w:rFonts w:hint="eastAsia"/>
          <w:lang w:val="en-US" w:eastAsia="zh-CN"/>
        </w:rPr>
        <w:t>3、</w:t>
      </w:r>
      <w:r>
        <w:t>《电子招标投标系统技术规范》</w:t>
      </w:r>
      <w:r>
        <w:rPr>
          <w:rFonts w:hint="eastAsia" w:eastAsiaTheme="minorEastAsia"/>
          <w:lang w:eastAsia="zh-CN"/>
        </w:rPr>
        <w:t>；</w:t>
      </w:r>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leftChars="200"/>
        <w:textAlignment w:val="auto"/>
      </w:pPr>
      <w:bookmarkStart w:id="13" w:name="bookmark24"/>
      <w:bookmarkEnd w:id="13"/>
      <w:r>
        <w:rPr>
          <w:rFonts w:hint="eastAsia"/>
          <w:lang w:val="en-US" w:eastAsia="zh-CN"/>
        </w:rPr>
        <w:t>4、</w:t>
      </w:r>
      <w:r>
        <w:t>《电子招标投标系统检测认证管理办法（试行）》</w:t>
      </w:r>
      <w:r>
        <w:rPr>
          <w:rFonts w:hint="eastAsia" w:eastAsiaTheme="minorEastAsia"/>
          <w:lang w:eastAsia="zh-CN"/>
        </w:rPr>
        <w:t>；</w:t>
      </w:r>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left="0" w:leftChars="0" w:firstLine="479" w:firstLineChars="218"/>
        <w:textAlignment w:val="auto"/>
      </w:pPr>
      <w:bookmarkStart w:id="14" w:name="bookmark25"/>
      <w:bookmarkEnd w:id="14"/>
      <w:r>
        <w:rPr>
          <w:rFonts w:hint="eastAsia"/>
          <w:lang w:val="en-US" w:eastAsia="zh-CN"/>
        </w:rPr>
        <w:t>5、关于印发</w:t>
      </w:r>
      <w:r>
        <w:t>《新疆维吾尔自治区</w:t>
      </w:r>
      <w:r>
        <w:rPr>
          <w:rFonts w:hint="eastAsia"/>
          <w:lang w:val="en-US" w:eastAsia="zh-CN"/>
        </w:rPr>
        <w:t>房屋建筑和市政基础设施项目工程总承包招投标试点工作实施方案</w:t>
      </w:r>
      <w:r>
        <w:t>》</w:t>
      </w:r>
      <w:r>
        <w:rPr>
          <w:rFonts w:hint="eastAsia"/>
          <w:lang w:eastAsia="zh-CN"/>
        </w:rPr>
        <w:t>《</w:t>
      </w:r>
      <w:r>
        <w:rPr>
          <w:rFonts w:hint="eastAsia"/>
          <w:lang w:val="en-US" w:eastAsia="zh-CN"/>
        </w:rPr>
        <w:t>新疆维吾尔自治区房屋建筑和市政基础设施项目工程总承包招标投标暂行规定</w:t>
      </w:r>
      <w:r>
        <w:rPr>
          <w:rFonts w:hint="eastAsia"/>
          <w:lang w:eastAsia="zh-CN"/>
        </w:rPr>
        <w:t>》</w:t>
      </w:r>
      <w:r>
        <w:t>（新建</w:t>
      </w:r>
      <w:r>
        <w:rPr>
          <w:rFonts w:hint="eastAsia"/>
          <w:lang w:val="en-US" w:eastAsia="zh-CN"/>
        </w:rPr>
        <w:t>规〔</w:t>
      </w:r>
      <w:r>
        <w:t>20</w:t>
      </w:r>
      <w:r>
        <w:rPr>
          <w:rFonts w:hint="eastAsia"/>
          <w:lang w:val="en-US" w:eastAsia="zh-CN"/>
        </w:rPr>
        <w:t>21</w:t>
      </w:r>
      <w:r>
        <w:rPr>
          <w:rFonts w:hint="eastAsia"/>
        </w:rPr>
        <w:t>〕</w:t>
      </w:r>
      <w:r>
        <w:t>7号）</w:t>
      </w:r>
      <w:r>
        <w:rPr>
          <w:rFonts w:hint="eastAsia"/>
          <w:lang w:eastAsia="zh-CN"/>
        </w:rPr>
        <w:t>。</w:t>
      </w:r>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left="0" w:leftChars="0" w:firstLine="440" w:firstLineChars="200"/>
        <w:textAlignment w:val="auto"/>
      </w:pPr>
      <w:r>
        <w:rPr>
          <w:rFonts w:hint="eastAsia"/>
          <w:lang w:val="en-US" w:eastAsia="zh-CN"/>
        </w:rPr>
        <w:t>6、</w:t>
      </w:r>
      <w:r>
        <w:rPr>
          <w:rFonts w:hint="eastAsia"/>
        </w:rPr>
        <w:t>关于修订《新疆维吾尔自治区房屋建筑和市政基础设施工程监理招标投标若干规定》的通知（新建建函〔2021〕130号）</w:t>
      </w:r>
    </w:p>
    <w:p>
      <w:pPr>
        <w:pStyle w:val="33"/>
        <w:keepNext w:val="0"/>
        <w:keepLines w:val="0"/>
        <w:pageBreakBefore w:val="0"/>
        <w:widowControl w:val="0"/>
        <w:numPr>
          <w:ilvl w:val="0"/>
          <w:numId w:val="0"/>
        </w:numPr>
        <w:tabs>
          <w:tab w:val="left" w:pos="891"/>
        </w:tabs>
        <w:kinsoku/>
        <w:wordWrap/>
        <w:overflowPunct/>
        <w:topLinePunct w:val="0"/>
        <w:autoSpaceDE/>
        <w:autoSpaceDN/>
        <w:bidi w:val="0"/>
        <w:adjustRightInd/>
        <w:snapToGrid/>
        <w:spacing w:line="560" w:lineRule="exact"/>
        <w:ind w:firstLine="440" w:firstLineChars="200"/>
        <w:textAlignment w:val="auto"/>
      </w:pPr>
      <w:r>
        <w:rPr>
          <w:rFonts w:hint="eastAsia"/>
          <w:lang w:val="en-US" w:eastAsia="zh-CN"/>
        </w:rPr>
        <w:t>7、</w:t>
      </w:r>
      <w:r>
        <w:rPr>
          <w:rFonts w:hint="eastAsia"/>
        </w:rPr>
        <w:t>关于印发《自治区房屋建筑和市政基础设施工程建设项目招标“评定分离”试点工作实施方案》《自治区房屋建筑和市政基础设施工程建设项目招标“评定分离”操作指导规则（试行）》的通知（新建建[2021]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宋体" w:hAnsi="宋体" w:eastAsia="宋体" w:cs="宋体"/>
          <w:color w:val="000000"/>
          <w:sz w:val="22"/>
          <w:szCs w:val="22"/>
          <w:lang w:val="zh-TW" w:eastAsia="zh-TW" w:bidi="zh-TW"/>
        </w:rPr>
      </w:pPr>
      <w:r>
        <w:rPr>
          <w:rFonts w:hint="eastAsia" w:ascii="宋体" w:hAnsi="宋体" w:eastAsia="宋体" w:cs="宋体"/>
          <w:color w:val="000000"/>
          <w:sz w:val="22"/>
          <w:szCs w:val="22"/>
          <w:lang w:val="en-US" w:eastAsia="zh-CN" w:bidi="zh-TW"/>
        </w:rPr>
        <w:t>8、</w:t>
      </w:r>
      <w:r>
        <w:rPr>
          <w:rFonts w:hint="eastAsia" w:ascii="宋体" w:hAnsi="宋体" w:eastAsia="宋体" w:cs="宋体"/>
          <w:color w:val="000000"/>
          <w:sz w:val="22"/>
          <w:szCs w:val="22"/>
          <w:lang w:val="zh-TW" w:eastAsia="zh-CN" w:bidi="zh-TW"/>
        </w:rPr>
        <w:t>《</w:t>
      </w:r>
      <w:r>
        <w:rPr>
          <w:rFonts w:hint="eastAsia" w:ascii="宋体" w:hAnsi="宋体" w:eastAsia="宋体" w:cs="宋体"/>
          <w:color w:val="000000"/>
          <w:sz w:val="22"/>
          <w:szCs w:val="22"/>
          <w:lang w:val="zh-TW" w:eastAsia="zh-TW" w:bidi="zh-TW"/>
        </w:rPr>
        <w:t>关于自治区建筑业企业信用评价结果在评标办法中应用的通知</w:t>
      </w:r>
      <w:r>
        <w:rPr>
          <w:rFonts w:hint="eastAsia" w:ascii="宋体" w:hAnsi="宋体" w:eastAsia="宋体" w:cs="宋体"/>
          <w:color w:val="000000"/>
          <w:sz w:val="22"/>
          <w:szCs w:val="22"/>
          <w:lang w:val="zh-TW" w:eastAsia="zh-CN" w:bidi="zh-TW"/>
        </w:rPr>
        <w:t>》</w:t>
      </w:r>
    </w:p>
    <w:p>
      <w:pPr>
        <w:pStyle w:val="2"/>
        <w:rPr>
          <w:rFonts w:hint="eastAsia"/>
          <w:lang w:val="zh-TW" w:eastAsia="zh-TW"/>
        </w:rPr>
      </w:pPr>
    </w:p>
    <w:p>
      <w:pPr>
        <w:pStyle w:val="4"/>
        <w:keepNext/>
        <w:keepLines/>
        <w:pageBreakBefore w:val="0"/>
        <w:widowControl w:val="0"/>
        <w:numPr>
          <w:ilvl w:val="0"/>
          <w:numId w:val="2"/>
        </w:numPr>
        <w:kinsoku/>
        <w:wordWrap/>
        <w:overflowPunct/>
        <w:topLinePunct w:val="0"/>
        <w:autoSpaceDE/>
        <w:autoSpaceDN/>
        <w:bidi w:val="0"/>
        <w:adjustRightInd/>
        <w:snapToGrid/>
        <w:spacing w:line="560" w:lineRule="exact"/>
        <w:textAlignment w:val="auto"/>
        <w:rPr>
          <w:b/>
        </w:rPr>
      </w:pPr>
      <w:bookmarkStart w:id="15" w:name="bookmark28"/>
      <w:bookmarkEnd w:id="15"/>
      <w:bookmarkStart w:id="16" w:name="bookmark29"/>
      <w:bookmarkStart w:id="17" w:name="_Toc10811"/>
      <w:bookmarkStart w:id="18" w:name="bookmark26"/>
      <w:r>
        <w:rPr>
          <w:rFonts w:hint="eastAsia"/>
          <w:b/>
          <w:lang w:val="en-US" w:eastAsia="zh-CN"/>
        </w:rPr>
        <w:t xml:space="preserve"> </w:t>
      </w:r>
      <w:bookmarkStart w:id="19" w:name="_Toc13281"/>
      <w:r>
        <w:rPr>
          <w:rFonts w:hint="eastAsia"/>
          <w:b/>
          <w:lang w:val="en-US" w:eastAsia="zh-CN"/>
        </w:rPr>
        <w:t>校验</w:t>
      </w:r>
      <w:r>
        <w:rPr>
          <w:b/>
        </w:rPr>
        <w:t>规范</w:t>
      </w:r>
      <w:bookmarkEnd w:id="16"/>
      <w:bookmarkEnd w:id="17"/>
      <w:bookmarkEnd w:id="18"/>
      <w:bookmarkEnd w:id="19"/>
    </w:p>
    <w:p>
      <w:pPr>
        <w:pStyle w:val="5"/>
        <w:keepNext/>
        <w:keepLines/>
        <w:pageBreakBefore w:val="0"/>
        <w:widowControl w:val="0"/>
        <w:kinsoku/>
        <w:wordWrap/>
        <w:overflowPunct/>
        <w:topLinePunct w:val="0"/>
        <w:autoSpaceDE/>
        <w:autoSpaceDN/>
        <w:bidi w:val="0"/>
        <w:adjustRightInd/>
        <w:snapToGrid/>
        <w:spacing w:line="560" w:lineRule="exact"/>
        <w:textAlignment w:val="auto"/>
      </w:pPr>
      <w:bookmarkStart w:id="20" w:name="_Toc1640"/>
      <w:bookmarkStart w:id="21" w:name="_Toc1788"/>
      <w:r>
        <w:rPr>
          <w:lang w:val="en-US" w:eastAsia="en-US"/>
        </w:rPr>
        <w:t>3.1</w:t>
      </w:r>
      <w:r>
        <w:rPr>
          <w:rFonts w:hint="eastAsia"/>
          <w:lang w:val="en-US" w:eastAsia="zh-CN"/>
        </w:rPr>
        <w:t xml:space="preserve"> 校验</w:t>
      </w:r>
      <w:r>
        <w:t>准则</w:t>
      </w:r>
      <w:bookmarkEnd w:id="20"/>
      <w:bookmarkEnd w:id="21"/>
    </w:p>
    <w:p>
      <w:pPr>
        <w:pStyle w:val="33"/>
        <w:spacing w:line="462" w:lineRule="exact"/>
        <w:ind w:firstLine="480" w:firstLineChars="200"/>
        <w:jc w:val="both"/>
        <w:rPr>
          <w:sz w:val="24"/>
          <w:szCs w:val="24"/>
        </w:rPr>
      </w:pPr>
      <w:r>
        <w:rPr>
          <w:sz w:val="24"/>
          <w:szCs w:val="24"/>
        </w:rPr>
        <w:t>一、被</w:t>
      </w:r>
      <w:r>
        <w:rPr>
          <w:rFonts w:hint="eastAsia"/>
          <w:sz w:val="24"/>
          <w:szCs w:val="24"/>
          <w:lang w:val="en-US" w:eastAsia="zh-CN"/>
        </w:rPr>
        <w:t>校验</w:t>
      </w:r>
      <w:r>
        <w:rPr>
          <w:rFonts w:hint="eastAsia"/>
          <w:sz w:val="24"/>
          <w:szCs w:val="24"/>
        </w:rPr>
        <w:t>交易系统</w:t>
      </w:r>
      <w:r>
        <w:rPr>
          <w:sz w:val="24"/>
          <w:szCs w:val="24"/>
        </w:rPr>
        <w:t>按照基本功能和技术支撑与保障分别进行评分。</w:t>
      </w:r>
    </w:p>
    <w:p>
      <w:pPr>
        <w:pStyle w:val="33"/>
        <w:spacing w:line="462" w:lineRule="exact"/>
        <w:ind w:firstLine="480" w:firstLineChars="200"/>
        <w:jc w:val="both"/>
        <w:rPr>
          <w:rFonts w:hint="eastAsia" w:eastAsia="宋体"/>
          <w:sz w:val="24"/>
          <w:szCs w:val="24"/>
          <w:lang w:val="en-US" w:eastAsia="zh-CN"/>
        </w:rPr>
      </w:pPr>
      <w:r>
        <w:rPr>
          <w:rFonts w:hint="eastAsia"/>
          <w:sz w:val="24"/>
          <w:szCs w:val="24"/>
          <w:lang w:eastAsia="zh-CN"/>
        </w:rPr>
        <w:t>（</w:t>
      </w:r>
      <w:r>
        <w:rPr>
          <w:rFonts w:hint="eastAsia"/>
          <w:sz w:val="24"/>
          <w:szCs w:val="24"/>
          <w:lang w:val="en-US" w:eastAsia="zh-CN"/>
        </w:rPr>
        <w:t>一</w:t>
      </w:r>
      <w:r>
        <w:rPr>
          <w:rFonts w:hint="eastAsia"/>
          <w:sz w:val="24"/>
          <w:szCs w:val="24"/>
          <w:lang w:eastAsia="zh-CN"/>
        </w:rPr>
        <w:t>）</w:t>
      </w:r>
      <w:r>
        <w:rPr>
          <w:sz w:val="24"/>
          <w:szCs w:val="24"/>
        </w:rPr>
        <w:t>模块中每条指标要求单独记分，最终合计系统基本功能总分（满分</w:t>
      </w:r>
      <w:r>
        <w:rPr>
          <w:rFonts w:ascii="Times New Roman" w:hAnsi="Times New Roman" w:eastAsia="Times New Roman" w:cs="Times New Roman"/>
          <w:sz w:val="24"/>
          <w:szCs w:val="24"/>
        </w:rPr>
        <w:t>100</w:t>
      </w:r>
      <w:r>
        <w:rPr>
          <w:sz w:val="24"/>
          <w:szCs w:val="24"/>
        </w:rPr>
        <w:t>分， 90分以上为合格。）。</w:t>
      </w:r>
      <w:r>
        <w:rPr>
          <w:rFonts w:hint="eastAsia"/>
          <w:sz w:val="24"/>
          <w:szCs w:val="24"/>
        </w:rPr>
        <w:t>交易系统</w:t>
      </w:r>
      <w:r>
        <w:rPr>
          <w:sz w:val="24"/>
          <w:szCs w:val="24"/>
        </w:rPr>
        <w:t>基本功能内容如下：</w:t>
      </w:r>
      <w:r>
        <w:rPr>
          <w:rFonts w:hint="eastAsia"/>
          <w:sz w:val="24"/>
          <w:szCs w:val="24"/>
          <w:lang w:val="en-US" w:eastAsia="zh-CN"/>
        </w:rPr>
        <w:t xml:space="preserve"> </w:t>
      </w:r>
    </w:p>
    <w:p>
      <w:pPr>
        <w:pStyle w:val="33"/>
        <w:numPr>
          <w:ilvl w:val="0"/>
          <w:numId w:val="0"/>
        </w:numPr>
        <w:tabs>
          <w:tab w:val="left" w:pos="891"/>
        </w:tabs>
        <w:spacing w:line="462" w:lineRule="exact"/>
        <w:ind w:firstLine="420" w:firstLineChars="0"/>
        <w:jc w:val="both"/>
        <w:rPr>
          <w:sz w:val="24"/>
          <w:szCs w:val="24"/>
        </w:rPr>
      </w:pPr>
      <w:bookmarkStart w:id="22" w:name="bookmark30"/>
      <w:bookmarkEnd w:id="22"/>
      <w:r>
        <w:rPr>
          <w:rFonts w:hint="eastAsia"/>
          <w:sz w:val="24"/>
          <w:szCs w:val="24"/>
          <w:lang w:val="en-US" w:eastAsia="zh-CN"/>
        </w:rPr>
        <w:t>1、招标公告、资格预审公告发布</w:t>
      </w:r>
    </w:p>
    <w:p>
      <w:pPr>
        <w:pStyle w:val="33"/>
        <w:numPr>
          <w:ilvl w:val="0"/>
          <w:numId w:val="0"/>
        </w:numPr>
        <w:tabs>
          <w:tab w:val="left" w:pos="891"/>
        </w:tabs>
        <w:spacing w:line="462" w:lineRule="exact"/>
        <w:ind w:firstLine="420" w:firstLineChars="0"/>
        <w:jc w:val="both"/>
        <w:rPr>
          <w:sz w:val="24"/>
          <w:szCs w:val="24"/>
        </w:rPr>
      </w:pPr>
      <w:r>
        <w:rPr>
          <w:rFonts w:hint="eastAsia"/>
          <w:sz w:val="24"/>
          <w:szCs w:val="24"/>
          <w:lang w:val="en-US" w:eastAsia="zh-CN"/>
        </w:rPr>
        <w:t>2、招标文件、资格预审文件编制、发布</w:t>
      </w:r>
    </w:p>
    <w:p>
      <w:pPr>
        <w:pStyle w:val="33"/>
        <w:numPr>
          <w:ilvl w:val="0"/>
          <w:numId w:val="0"/>
        </w:numPr>
        <w:tabs>
          <w:tab w:val="left" w:pos="891"/>
        </w:tabs>
        <w:spacing w:line="462" w:lineRule="exact"/>
        <w:ind w:firstLine="420" w:firstLineChars="0"/>
        <w:jc w:val="both"/>
        <w:rPr>
          <w:sz w:val="24"/>
          <w:szCs w:val="24"/>
        </w:rPr>
      </w:pPr>
      <w:r>
        <w:rPr>
          <w:rFonts w:hint="eastAsia"/>
          <w:sz w:val="24"/>
          <w:szCs w:val="24"/>
          <w:lang w:val="en-US" w:eastAsia="zh-CN"/>
        </w:rPr>
        <w:t>3、招标文件、资格预审文件澄清与修改</w:t>
      </w:r>
    </w:p>
    <w:p>
      <w:pPr>
        <w:pStyle w:val="33"/>
        <w:numPr>
          <w:ilvl w:val="0"/>
          <w:numId w:val="0"/>
        </w:numPr>
        <w:tabs>
          <w:tab w:val="left" w:pos="891"/>
        </w:tabs>
        <w:spacing w:line="462" w:lineRule="exact"/>
        <w:ind w:firstLine="420" w:firstLineChars="0"/>
        <w:jc w:val="both"/>
        <w:rPr>
          <w:sz w:val="24"/>
          <w:szCs w:val="24"/>
        </w:rPr>
      </w:pPr>
      <w:r>
        <w:rPr>
          <w:rFonts w:hint="eastAsia"/>
          <w:sz w:val="24"/>
          <w:szCs w:val="24"/>
          <w:lang w:val="en-US" w:eastAsia="zh-CN"/>
        </w:rPr>
        <w:t>4、投标</w:t>
      </w:r>
    </w:p>
    <w:p>
      <w:pPr>
        <w:pStyle w:val="33"/>
        <w:numPr>
          <w:ilvl w:val="0"/>
          <w:numId w:val="0"/>
        </w:numPr>
        <w:tabs>
          <w:tab w:val="left" w:pos="891"/>
        </w:tabs>
        <w:spacing w:line="462" w:lineRule="exact"/>
        <w:ind w:firstLine="420" w:firstLineChars="0"/>
        <w:jc w:val="both"/>
        <w:rPr>
          <w:sz w:val="24"/>
          <w:szCs w:val="24"/>
        </w:rPr>
      </w:pPr>
      <w:r>
        <w:rPr>
          <w:rFonts w:hint="eastAsia"/>
          <w:sz w:val="24"/>
          <w:szCs w:val="24"/>
          <w:lang w:val="en-US" w:eastAsia="zh-CN"/>
        </w:rPr>
        <w:t>5、</w:t>
      </w:r>
      <w:r>
        <w:rPr>
          <w:sz w:val="24"/>
          <w:szCs w:val="24"/>
        </w:rPr>
        <w:t>用户管理</w:t>
      </w:r>
    </w:p>
    <w:p>
      <w:pPr>
        <w:pStyle w:val="33"/>
        <w:numPr>
          <w:ilvl w:val="0"/>
          <w:numId w:val="0"/>
        </w:numPr>
        <w:tabs>
          <w:tab w:val="left" w:pos="891"/>
        </w:tabs>
        <w:spacing w:line="462" w:lineRule="exact"/>
        <w:ind w:firstLine="420" w:firstLineChars="0"/>
        <w:jc w:val="both"/>
        <w:rPr>
          <w:sz w:val="24"/>
          <w:szCs w:val="24"/>
        </w:rPr>
      </w:pPr>
      <w:bookmarkStart w:id="23" w:name="bookmark31"/>
      <w:bookmarkEnd w:id="23"/>
      <w:r>
        <w:rPr>
          <w:rFonts w:hint="eastAsia"/>
          <w:sz w:val="24"/>
          <w:szCs w:val="24"/>
          <w:lang w:val="en-US" w:eastAsia="zh-CN"/>
        </w:rPr>
        <w:t>6、</w:t>
      </w:r>
      <w:r>
        <w:rPr>
          <w:sz w:val="24"/>
          <w:szCs w:val="24"/>
        </w:rPr>
        <w:t>评标准备</w:t>
      </w:r>
    </w:p>
    <w:p>
      <w:pPr>
        <w:pStyle w:val="31"/>
        <w:numPr>
          <w:ilvl w:val="0"/>
          <w:numId w:val="0"/>
        </w:numPr>
        <w:tabs>
          <w:tab w:val="left" w:pos="891"/>
        </w:tabs>
        <w:spacing w:after="0"/>
        <w:ind w:firstLine="420" w:firstLineChars="0"/>
        <w:jc w:val="both"/>
        <w:rPr>
          <w:sz w:val="24"/>
          <w:szCs w:val="24"/>
        </w:rPr>
      </w:pPr>
      <w:bookmarkStart w:id="24" w:name="bookmark32"/>
      <w:bookmarkEnd w:id="24"/>
      <w:r>
        <w:rPr>
          <w:rFonts w:hint="eastAsia" w:ascii="宋体" w:hAnsi="宋体" w:eastAsia="宋体" w:cs="宋体"/>
          <w:color w:val="343649"/>
          <w:sz w:val="24"/>
          <w:szCs w:val="24"/>
          <w:lang w:val="en-US" w:eastAsia="zh-CN" w:bidi="zh-TW"/>
        </w:rPr>
        <w:t>7、</w:t>
      </w:r>
      <w:r>
        <w:rPr>
          <w:rFonts w:ascii="宋体" w:hAnsi="宋体" w:eastAsia="宋体" w:cs="宋体"/>
          <w:color w:val="343649"/>
          <w:sz w:val="24"/>
          <w:szCs w:val="24"/>
          <w:lang w:val="zh-TW" w:eastAsia="zh-TW" w:bidi="zh-TW"/>
        </w:rPr>
        <w:t>开标</w:t>
      </w:r>
    </w:p>
    <w:p>
      <w:pPr>
        <w:pStyle w:val="31"/>
        <w:numPr>
          <w:ilvl w:val="0"/>
          <w:numId w:val="0"/>
        </w:numPr>
        <w:tabs>
          <w:tab w:val="left" w:pos="891"/>
        </w:tabs>
        <w:spacing w:after="0"/>
        <w:ind w:firstLine="420" w:firstLineChars="0"/>
        <w:jc w:val="both"/>
        <w:rPr>
          <w:sz w:val="24"/>
          <w:szCs w:val="24"/>
        </w:rPr>
      </w:pPr>
      <w:bookmarkStart w:id="25" w:name="bookmark33"/>
      <w:bookmarkEnd w:id="25"/>
      <w:r>
        <w:rPr>
          <w:rFonts w:hint="eastAsia" w:ascii="宋体" w:hAnsi="宋体" w:eastAsia="宋体" w:cs="宋体"/>
          <w:color w:val="000000"/>
          <w:sz w:val="24"/>
          <w:szCs w:val="24"/>
          <w:lang w:val="en-US" w:eastAsia="zh-CN" w:bidi="zh-TW"/>
        </w:rPr>
        <w:t>8、</w:t>
      </w:r>
      <w:r>
        <w:rPr>
          <w:rFonts w:ascii="宋体" w:hAnsi="宋体" w:eastAsia="宋体" w:cs="宋体"/>
          <w:color w:val="000000"/>
          <w:sz w:val="24"/>
          <w:szCs w:val="24"/>
          <w:lang w:val="zh-TW" w:eastAsia="zh-TW" w:bidi="zh-TW"/>
        </w:rPr>
        <w:t>评审</w:t>
      </w:r>
    </w:p>
    <w:p>
      <w:pPr>
        <w:pStyle w:val="31"/>
        <w:numPr>
          <w:ilvl w:val="0"/>
          <w:numId w:val="0"/>
        </w:numPr>
        <w:tabs>
          <w:tab w:val="left" w:pos="891"/>
        </w:tabs>
        <w:spacing w:after="0"/>
        <w:ind w:firstLine="420" w:firstLineChars="0"/>
        <w:jc w:val="both"/>
        <w:rPr>
          <w:sz w:val="24"/>
          <w:szCs w:val="24"/>
        </w:rPr>
      </w:pPr>
      <w:r>
        <w:rPr>
          <w:rFonts w:hint="eastAsia" w:ascii="宋体" w:hAnsi="宋体" w:eastAsia="宋体" w:cs="宋体"/>
          <w:color w:val="000000"/>
          <w:sz w:val="24"/>
          <w:szCs w:val="24"/>
          <w:lang w:val="en-US" w:eastAsia="zh-CN" w:bidi="zh-TW"/>
        </w:rPr>
        <w:t>9、中标候选人公示</w:t>
      </w:r>
    </w:p>
    <w:p>
      <w:pPr>
        <w:pStyle w:val="31"/>
        <w:numPr>
          <w:ilvl w:val="0"/>
          <w:numId w:val="0"/>
        </w:numPr>
        <w:tabs>
          <w:tab w:val="left" w:pos="891"/>
        </w:tabs>
        <w:spacing w:after="0"/>
        <w:ind w:firstLine="420" w:firstLineChars="0"/>
        <w:jc w:val="both"/>
        <w:rPr>
          <w:sz w:val="24"/>
          <w:szCs w:val="24"/>
        </w:rPr>
      </w:pPr>
      <w:r>
        <w:rPr>
          <w:rFonts w:hint="eastAsia" w:ascii="宋体" w:hAnsi="宋体" w:eastAsia="宋体" w:cs="宋体"/>
          <w:color w:val="000000"/>
          <w:sz w:val="24"/>
          <w:szCs w:val="24"/>
          <w:lang w:val="en-US" w:eastAsia="zh-CN" w:bidi="zh-TW"/>
        </w:rPr>
        <w:t>10、中标结果公告</w:t>
      </w:r>
    </w:p>
    <w:p>
      <w:pPr>
        <w:pStyle w:val="31"/>
        <w:numPr>
          <w:ilvl w:val="0"/>
          <w:numId w:val="0"/>
        </w:numPr>
        <w:tabs>
          <w:tab w:val="left" w:pos="891"/>
        </w:tabs>
        <w:spacing w:after="0"/>
        <w:ind w:firstLine="420" w:firstLineChars="0"/>
        <w:jc w:val="both"/>
        <w:rPr>
          <w:sz w:val="24"/>
          <w:szCs w:val="24"/>
        </w:rPr>
      </w:pPr>
      <w:r>
        <w:rPr>
          <w:rFonts w:hint="eastAsia" w:ascii="宋体" w:hAnsi="宋体" w:eastAsia="宋体" w:cs="宋体"/>
          <w:color w:val="000000"/>
          <w:sz w:val="24"/>
          <w:szCs w:val="24"/>
          <w:lang w:val="en-US" w:eastAsia="zh-CN" w:bidi="zh-TW"/>
        </w:rPr>
        <w:t>11、中标通知书</w:t>
      </w:r>
    </w:p>
    <w:p>
      <w:pPr>
        <w:pStyle w:val="31"/>
        <w:numPr>
          <w:ilvl w:val="0"/>
          <w:numId w:val="0"/>
        </w:numPr>
        <w:tabs>
          <w:tab w:val="left" w:pos="891"/>
        </w:tabs>
        <w:spacing w:after="0"/>
        <w:ind w:firstLine="420" w:firstLineChars="0"/>
        <w:jc w:val="both"/>
        <w:rPr>
          <w:sz w:val="24"/>
          <w:szCs w:val="24"/>
        </w:rPr>
      </w:pPr>
      <w:r>
        <w:rPr>
          <w:rFonts w:hint="eastAsia" w:ascii="宋体" w:hAnsi="宋体" w:eastAsia="宋体" w:cs="宋体"/>
          <w:color w:val="000000"/>
          <w:sz w:val="24"/>
          <w:szCs w:val="24"/>
          <w:lang w:val="en-US" w:eastAsia="zh-CN" w:bidi="zh-TW"/>
        </w:rPr>
        <w:t>12、项目异常处理</w:t>
      </w:r>
    </w:p>
    <w:p>
      <w:pPr>
        <w:pStyle w:val="31"/>
        <w:numPr>
          <w:ilvl w:val="0"/>
          <w:numId w:val="0"/>
        </w:numPr>
        <w:tabs>
          <w:tab w:val="left" w:pos="891"/>
        </w:tabs>
        <w:spacing w:after="0"/>
        <w:ind w:firstLine="420" w:firstLineChars="0"/>
        <w:jc w:val="both"/>
        <w:rPr>
          <w:sz w:val="24"/>
          <w:szCs w:val="24"/>
        </w:rPr>
      </w:pPr>
      <w:r>
        <w:rPr>
          <w:rFonts w:hint="eastAsia" w:ascii="宋体" w:hAnsi="宋体" w:eastAsia="宋体" w:cs="宋体"/>
          <w:color w:val="000000"/>
          <w:sz w:val="24"/>
          <w:szCs w:val="24"/>
          <w:lang w:val="en-US" w:eastAsia="zh-CN" w:bidi="zh-TW"/>
        </w:rPr>
        <w:t>13、信用评价分值</w:t>
      </w:r>
    </w:p>
    <w:p>
      <w:pPr>
        <w:pStyle w:val="33"/>
        <w:spacing w:line="462" w:lineRule="exact"/>
        <w:ind w:firstLine="480" w:firstLineChars="200"/>
        <w:jc w:val="both"/>
        <w:rPr>
          <w:sz w:val="24"/>
          <w:szCs w:val="24"/>
        </w:rPr>
      </w:pPr>
      <w:r>
        <w:rPr>
          <w:rFonts w:hint="eastAsia"/>
          <w:sz w:val="24"/>
          <w:szCs w:val="24"/>
          <w:lang w:eastAsia="zh-CN"/>
        </w:rPr>
        <w:t>（</w:t>
      </w:r>
      <w:r>
        <w:rPr>
          <w:rFonts w:hint="eastAsia"/>
          <w:sz w:val="24"/>
          <w:szCs w:val="24"/>
          <w:lang w:val="en-US" w:eastAsia="zh-CN"/>
        </w:rPr>
        <w:t>二</w:t>
      </w:r>
      <w:r>
        <w:rPr>
          <w:rFonts w:hint="eastAsia"/>
          <w:sz w:val="24"/>
          <w:szCs w:val="24"/>
          <w:lang w:eastAsia="zh-CN"/>
        </w:rPr>
        <w:t>）</w:t>
      </w:r>
      <w:r>
        <w:rPr>
          <w:sz w:val="24"/>
          <w:szCs w:val="24"/>
        </w:rPr>
        <w:t>模块中每条指标要求单独记分，最终合计系统技术支持与保障总分（满分</w:t>
      </w:r>
      <w:r>
        <w:rPr>
          <w:rFonts w:ascii="Times New Roman" w:hAnsi="Times New Roman" w:eastAsia="Times New Roman" w:cs="Times New Roman"/>
          <w:sz w:val="24"/>
          <w:szCs w:val="24"/>
        </w:rPr>
        <w:t>100</w:t>
      </w:r>
      <w:r>
        <w:rPr>
          <w:sz w:val="24"/>
          <w:szCs w:val="24"/>
        </w:rPr>
        <w:t>分，</w:t>
      </w:r>
      <w:r>
        <w:rPr>
          <w:rFonts w:ascii="Times New Roman" w:hAnsi="Times New Roman" w:eastAsia="Times New Roman" w:cs="Times New Roman"/>
          <w:sz w:val="24"/>
          <w:szCs w:val="24"/>
        </w:rPr>
        <w:t>90</w:t>
      </w:r>
      <w:r>
        <w:rPr>
          <w:sz w:val="24"/>
          <w:szCs w:val="24"/>
        </w:rPr>
        <w:t>分以上为合格</w:t>
      </w:r>
      <w:r>
        <w:rPr>
          <w:rFonts w:hint="eastAsia" w:eastAsiaTheme="minorEastAsia"/>
          <w:sz w:val="24"/>
          <w:szCs w:val="24"/>
          <w:lang w:eastAsia="zh-CN"/>
        </w:rPr>
        <w:t>。）。</w:t>
      </w:r>
      <w:r>
        <w:rPr>
          <w:rFonts w:hint="eastAsia"/>
          <w:sz w:val="24"/>
          <w:szCs w:val="24"/>
        </w:rPr>
        <w:t>交易系统</w:t>
      </w:r>
      <w:r>
        <w:rPr>
          <w:sz w:val="24"/>
          <w:szCs w:val="24"/>
        </w:rPr>
        <w:t>技术支撑与保障内容如下：</w:t>
      </w:r>
    </w:p>
    <w:p>
      <w:pPr>
        <w:pStyle w:val="33"/>
        <w:numPr>
          <w:ilvl w:val="0"/>
          <w:numId w:val="0"/>
        </w:numPr>
        <w:tabs>
          <w:tab w:val="left" w:pos="891"/>
        </w:tabs>
        <w:spacing w:line="462" w:lineRule="exact"/>
        <w:ind w:left="0" w:leftChars="0" w:firstLine="480" w:firstLineChars="200"/>
        <w:jc w:val="both"/>
        <w:rPr>
          <w:sz w:val="24"/>
          <w:szCs w:val="24"/>
        </w:rPr>
      </w:pPr>
      <w:bookmarkStart w:id="26" w:name="bookmark34"/>
      <w:bookmarkEnd w:id="26"/>
      <w:r>
        <w:rPr>
          <w:rFonts w:hint="eastAsia"/>
          <w:sz w:val="24"/>
          <w:szCs w:val="24"/>
          <w:lang w:val="en-US" w:eastAsia="zh-CN"/>
        </w:rPr>
        <w:t>1、</w:t>
      </w:r>
      <w:r>
        <w:rPr>
          <w:sz w:val="24"/>
          <w:szCs w:val="24"/>
        </w:rPr>
        <w:t>有安全性</w:t>
      </w:r>
    </w:p>
    <w:p>
      <w:pPr>
        <w:pStyle w:val="33"/>
        <w:numPr>
          <w:ilvl w:val="0"/>
          <w:numId w:val="0"/>
        </w:numPr>
        <w:tabs>
          <w:tab w:val="left" w:pos="891"/>
        </w:tabs>
        <w:spacing w:line="462" w:lineRule="exact"/>
        <w:ind w:left="0" w:leftChars="0" w:firstLine="480" w:firstLineChars="200"/>
        <w:jc w:val="both"/>
        <w:rPr>
          <w:sz w:val="24"/>
          <w:szCs w:val="24"/>
          <w:lang w:val="zh-TW" w:eastAsia="zh-TW"/>
        </w:rPr>
      </w:pPr>
      <w:bookmarkStart w:id="27" w:name="bookmark35"/>
      <w:bookmarkEnd w:id="27"/>
      <w:r>
        <w:rPr>
          <w:rFonts w:hint="eastAsia"/>
          <w:sz w:val="24"/>
          <w:szCs w:val="24"/>
          <w:lang w:val="en-US" w:eastAsia="zh-CN"/>
        </w:rPr>
        <w:t>2、</w:t>
      </w:r>
      <w:r>
        <w:rPr>
          <w:sz w:val="24"/>
          <w:szCs w:val="24"/>
          <w:lang w:val="zh-TW" w:eastAsia="zh-TW"/>
        </w:rPr>
        <w:t>性能</w:t>
      </w:r>
    </w:p>
    <w:p>
      <w:pPr>
        <w:pStyle w:val="33"/>
        <w:numPr>
          <w:ilvl w:val="0"/>
          <w:numId w:val="0"/>
        </w:numPr>
        <w:tabs>
          <w:tab w:val="left" w:pos="891"/>
        </w:tabs>
        <w:spacing w:line="462" w:lineRule="exact"/>
        <w:ind w:left="0" w:leftChars="0" w:firstLine="480" w:firstLineChars="200"/>
        <w:jc w:val="both"/>
        <w:rPr>
          <w:sz w:val="24"/>
          <w:szCs w:val="24"/>
        </w:rPr>
      </w:pPr>
      <w:bookmarkStart w:id="28" w:name="bookmark36"/>
      <w:bookmarkEnd w:id="28"/>
      <w:r>
        <w:rPr>
          <w:rFonts w:hint="eastAsia"/>
          <w:sz w:val="24"/>
          <w:szCs w:val="24"/>
          <w:lang w:val="en-US" w:eastAsia="zh-CN"/>
        </w:rPr>
        <w:t>3、</w:t>
      </w:r>
      <w:r>
        <w:rPr>
          <w:sz w:val="24"/>
          <w:szCs w:val="24"/>
        </w:rPr>
        <w:t>数据准确性</w:t>
      </w:r>
    </w:p>
    <w:p>
      <w:pPr>
        <w:pStyle w:val="33"/>
        <w:spacing w:line="474" w:lineRule="exact"/>
        <w:ind w:firstLine="480" w:firstLineChars="200"/>
        <w:rPr>
          <w:sz w:val="24"/>
          <w:szCs w:val="24"/>
        </w:rPr>
      </w:pPr>
      <w:r>
        <w:rPr>
          <w:sz w:val="24"/>
          <w:szCs w:val="24"/>
        </w:rPr>
        <w:t>最终评分结果作为系统的合规性</w:t>
      </w:r>
      <w:r>
        <w:rPr>
          <w:rFonts w:hint="eastAsia"/>
          <w:sz w:val="24"/>
          <w:szCs w:val="24"/>
          <w:lang w:val="en-US" w:eastAsia="zh-CN"/>
        </w:rPr>
        <w:t>校验</w:t>
      </w:r>
      <w:r>
        <w:rPr>
          <w:sz w:val="24"/>
          <w:szCs w:val="24"/>
        </w:rPr>
        <w:t>依据。</w:t>
      </w:r>
    </w:p>
    <w:p>
      <w:pPr>
        <w:pStyle w:val="33"/>
        <w:spacing w:line="474" w:lineRule="exact"/>
        <w:ind w:firstLine="480" w:firstLineChars="200"/>
        <w:rPr>
          <w:sz w:val="24"/>
          <w:szCs w:val="24"/>
        </w:rPr>
      </w:pPr>
      <w:r>
        <w:rPr>
          <w:sz w:val="24"/>
          <w:szCs w:val="24"/>
        </w:rPr>
        <w:t>二、辅助评标系统算法</w:t>
      </w:r>
      <w:r>
        <w:rPr>
          <w:rFonts w:hint="eastAsia"/>
          <w:sz w:val="24"/>
          <w:szCs w:val="24"/>
          <w:lang w:val="en-US" w:eastAsia="zh-CN"/>
        </w:rPr>
        <w:t>校验</w:t>
      </w:r>
      <w:r>
        <w:rPr>
          <w:sz w:val="24"/>
          <w:szCs w:val="24"/>
        </w:rPr>
        <w:t>评估。</w:t>
      </w:r>
    </w:p>
    <w:p>
      <w:pPr>
        <w:pStyle w:val="33"/>
        <w:spacing w:line="474" w:lineRule="exact"/>
        <w:ind w:firstLine="480" w:firstLineChars="200"/>
        <w:rPr>
          <w:sz w:val="24"/>
          <w:szCs w:val="24"/>
        </w:rPr>
      </w:pPr>
      <w:r>
        <w:rPr>
          <w:sz w:val="24"/>
          <w:szCs w:val="24"/>
        </w:rPr>
        <w:t>辅助评标系统算法</w:t>
      </w:r>
      <w:r>
        <w:rPr>
          <w:rFonts w:hint="eastAsia"/>
          <w:sz w:val="24"/>
          <w:szCs w:val="24"/>
          <w:lang w:val="en-US" w:eastAsia="zh-CN"/>
        </w:rPr>
        <w:t>校验</w:t>
      </w:r>
      <w:r>
        <w:rPr>
          <w:sz w:val="24"/>
          <w:szCs w:val="24"/>
        </w:rPr>
        <w:t>评估为通过制，以下</w:t>
      </w:r>
      <w:r>
        <w:rPr>
          <w:rFonts w:hint="eastAsia"/>
          <w:sz w:val="24"/>
          <w:szCs w:val="24"/>
          <w:lang w:val="en-US" w:eastAsia="zh-CN"/>
        </w:rPr>
        <w:t>校验</w:t>
      </w:r>
      <w:r>
        <w:rPr>
          <w:sz w:val="24"/>
          <w:szCs w:val="24"/>
        </w:rPr>
        <w:t>内容任何一项未通过，则认定辅助评标系统未通过</w:t>
      </w:r>
      <w:r>
        <w:rPr>
          <w:rFonts w:hint="eastAsia"/>
          <w:sz w:val="24"/>
          <w:szCs w:val="24"/>
          <w:lang w:val="en-US" w:eastAsia="zh-CN"/>
        </w:rPr>
        <w:t>校验</w:t>
      </w:r>
      <w:r>
        <w:rPr>
          <w:sz w:val="24"/>
          <w:szCs w:val="24"/>
        </w:rPr>
        <w:t>评估</w:t>
      </w:r>
      <w:r>
        <w:rPr>
          <w:rFonts w:hint="eastAsia"/>
          <w:sz w:val="24"/>
          <w:szCs w:val="24"/>
          <w:lang w:eastAsia="zh-CN"/>
        </w:rPr>
        <w:t>，</w:t>
      </w:r>
      <w:r>
        <w:rPr>
          <w:rFonts w:hint="eastAsia"/>
          <w:sz w:val="24"/>
          <w:szCs w:val="24"/>
          <w:lang w:val="en-US" w:eastAsia="zh-CN"/>
        </w:rPr>
        <w:t>后续相关评标办法出台按照相应评标规则校验</w:t>
      </w:r>
      <w:bookmarkStart w:id="39" w:name="_GoBack"/>
      <w:bookmarkEnd w:id="39"/>
      <w:r>
        <w:rPr>
          <w:sz w:val="24"/>
          <w:szCs w:val="24"/>
        </w:rPr>
        <w:t>。</w:t>
      </w:r>
    </w:p>
    <w:p>
      <w:pPr>
        <w:pStyle w:val="33"/>
        <w:spacing w:line="474" w:lineRule="exact"/>
        <w:ind w:firstLine="0" w:firstLineChars="0"/>
        <w:rPr>
          <w:sz w:val="24"/>
          <w:szCs w:val="24"/>
        </w:rPr>
      </w:pPr>
    </w:p>
    <w:p>
      <w:pPr>
        <w:pStyle w:val="33"/>
        <w:spacing w:line="474" w:lineRule="exact"/>
        <w:ind w:firstLine="0" w:firstLineChars="0"/>
        <w:rPr>
          <w:sz w:val="24"/>
          <w:szCs w:val="24"/>
        </w:rPr>
      </w:pPr>
    </w:p>
    <w:p>
      <w:pPr>
        <w:pStyle w:val="33"/>
        <w:spacing w:line="474" w:lineRule="exact"/>
        <w:ind w:firstLine="0" w:firstLineChars="0"/>
        <w:rPr>
          <w:sz w:val="24"/>
          <w:szCs w:val="24"/>
        </w:rPr>
      </w:pPr>
    </w:p>
    <w:p>
      <w:pPr>
        <w:pStyle w:val="33"/>
        <w:spacing w:line="474" w:lineRule="exact"/>
        <w:ind w:firstLine="0" w:firstLineChars="0"/>
        <w:rPr>
          <w:sz w:val="24"/>
          <w:szCs w:val="24"/>
        </w:rPr>
      </w:pPr>
    </w:p>
    <w:p>
      <w:pPr>
        <w:pStyle w:val="33"/>
        <w:spacing w:line="474" w:lineRule="exact"/>
        <w:ind w:firstLine="0" w:firstLineChars="0"/>
        <w:rPr>
          <w:sz w:val="24"/>
          <w:szCs w:val="24"/>
        </w:rPr>
      </w:pPr>
    </w:p>
    <w:p>
      <w:pPr>
        <w:pStyle w:val="33"/>
        <w:spacing w:line="474" w:lineRule="exact"/>
        <w:ind w:firstLine="0" w:firstLineChars="0"/>
        <w:rPr>
          <w:sz w:val="24"/>
          <w:szCs w:val="24"/>
        </w:rPr>
      </w:pPr>
    </w:p>
    <w:p>
      <w:pPr>
        <w:pStyle w:val="33"/>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0" w:firstLineChars="0"/>
        <w:textAlignment w:val="auto"/>
      </w:pPr>
      <w:r>
        <w:rPr>
          <w:rFonts w:hint="eastAsia"/>
          <w:lang w:eastAsia="zh-CN"/>
        </w:rPr>
        <w:t>电子辅助评标系统检测功能（工程总承包综合评估法）</w:t>
      </w:r>
      <w:r>
        <w:t>具体内容如下：</w:t>
      </w:r>
      <w:bookmarkStart w:id="29" w:name="bookmark37"/>
    </w:p>
    <w:tbl>
      <w:tblPr>
        <w:tblStyle w:val="17"/>
        <w:tblpPr w:leftFromText="180" w:rightFromText="180" w:vertAnchor="page" w:horzAnchor="page" w:tblpX="1825" w:tblpY="23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60"/>
        <w:gridCol w:w="1575"/>
        <w:gridCol w:w="1209"/>
        <w:gridCol w:w="2954"/>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41"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序号</w:t>
            </w:r>
          </w:p>
        </w:tc>
        <w:tc>
          <w:tcPr>
            <w:tcW w:w="1060"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评审流程</w:t>
            </w:r>
          </w:p>
        </w:tc>
        <w:tc>
          <w:tcPr>
            <w:tcW w:w="1575"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检测模块</w:t>
            </w: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检测点</w:t>
            </w:r>
          </w:p>
        </w:tc>
        <w:tc>
          <w:tcPr>
            <w:tcW w:w="2954"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检测指标</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1</w:t>
            </w:r>
          </w:p>
        </w:tc>
        <w:tc>
          <w:tcPr>
            <w:tcW w:w="1060"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初步评审</w:t>
            </w:r>
          </w:p>
        </w:tc>
        <w:tc>
          <w:tcPr>
            <w:tcW w:w="1575"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形式、实质性和投标人资格评审</w:t>
            </w:r>
          </w:p>
        </w:tc>
        <w:tc>
          <w:tcPr>
            <w:tcW w:w="1209" w:type="dxa"/>
            <w:vAlign w:val="center"/>
          </w:tcPr>
          <w:p>
            <w:pPr>
              <w:ind w:firstLine="0" w:firstLineChars="0"/>
              <w:jc w:val="center"/>
              <w:rPr>
                <w:rFonts w:hint="eastAsia"/>
              </w:rPr>
            </w:pPr>
            <w:r>
              <w:rPr>
                <w:rFonts w:hint="eastAsia" w:asciiTheme="minorEastAsia" w:hAnsiTheme="minorEastAsia" w:eastAsiaTheme="minorEastAsia" w:cstheme="minorEastAsia"/>
                <w:sz w:val="18"/>
                <w:szCs w:val="18"/>
                <w:vertAlign w:val="baseline"/>
              </w:rPr>
              <w:t>投标文件</w:t>
            </w:r>
            <w:r>
              <w:rPr>
                <w:rFonts w:hint="eastAsia" w:asciiTheme="minorEastAsia" w:hAnsiTheme="minorEastAsia" w:eastAsiaTheme="minorEastAsia" w:cstheme="minorEastAsia"/>
                <w:sz w:val="18"/>
                <w:szCs w:val="18"/>
                <w:vertAlign w:val="baseline"/>
                <w:lang w:val="en-US" w:eastAsia="zh-CN"/>
              </w:rPr>
              <w:t>准确的</w:t>
            </w:r>
            <w:r>
              <w:rPr>
                <w:rFonts w:hint="eastAsia" w:asciiTheme="minorEastAsia" w:hAnsiTheme="minorEastAsia" w:eastAsiaTheme="minorEastAsia" w:cstheme="minorEastAsia"/>
                <w:sz w:val="18"/>
                <w:szCs w:val="18"/>
                <w:vertAlign w:val="baseline"/>
              </w:rPr>
              <w:t>解析</w:t>
            </w:r>
          </w:p>
        </w:tc>
        <w:tc>
          <w:tcPr>
            <w:tcW w:w="2954" w:type="dxa"/>
            <w:vAlign w:val="center"/>
          </w:tcPr>
          <w:p>
            <w:pPr>
              <w:numPr>
                <w:ilvl w:val="0"/>
                <w:numId w:val="4"/>
              </w:num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根据评审因素对投标文件进行解析、分置。在评审相应内容时能快速准确定位到投标文件的相应部分，供评标专家评审认定。</w:t>
            </w:r>
          </w:p>
          <w:p>
            <w:pPr>
              <w:numPr>
                <w:ilvl w:val="0"/>
                <w:numId w:val="4"/>
              </w:num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实质性评审时能将开标时的相关数据推送至评标专家评审界面，让评标专家客观的对照进行评审。</w:t>
            </w:r>
          </w:p>
        </w:tc>
        <w:tc>
          <w:tcPr>
            <w:tcW w:w="1081"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此项未通过的，不得进入详细评阶段。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w:t>
            </w:r>
          </w:p>
          <w:p>
            <w:pPr>
              <w:pStyle w:val="2"/>
              <w:jc w:val="center"/>
              <w:rPr>
                <w:rFonts w:hint="eastAsia"/>
                <w:lang w:val="en-US" w:eastAsia="zh-CN"/>
              </w:rPr>
            </w:pPr>
          </w:p>
        </w:tc>
        <w:tc>
          <w:tcPr>
            <w:tcW w:w="1060" w:type="dxa"/>
            <w:vMerge w:val="restart"/>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详细评审</w:t>
            </w:r>
          </w:p>
          <w:p>
            <w:pPr>
              <w:pStyle w:val="2"/>
              <w:jc w:val="center"/>
              <w:rPr>
                <w:rFonts w:hint="eastAsia"/>
                <w:lang w:val="en-US" w:eastAsia="zh-CN"/>
              </w:rPr>
            </w:pPr>
          </w:p>
        </w:tc>
        <w:tc>
          <w:tcPr>
            <w:tcW w:w="1575" w:type="dxa"/>
            <w:vMerge w:val="restart"/>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商务标评审</w:t>
            </w:r>
          </w:p>
          <w:p>
            <w:pPr>
              <w:pStyle w:val="2"/>
              <w:jc w:val="center"/>
              <w:rPr>
                <w:rFonts w:hint="eastAsia"/>
                <w:lang w:val="en-US" w:eastAsia="zh-CN"/>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权重</w:t>
            </w:r>
          </w:p>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设定</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商务标为百分制评审。权重设定为≤20%，</w:t>
            </w:r>
            <w:r>
              <w:rPr>
                <w:rFonts w:hint="eastAsia" w:asciiTheme="minorEastAsia" w:hAnsiTheme="minorEastAsia" w:eastAsiaTheme="minorEastAsia" w:cstheme="minorEastAsia"/>
                <w:sz w:val="18"/>
                <w:szCs w:val="18"/>
                <w:highlight w:val="none"/>
                <w:lang w:val="en-US" w:eastAsia="zh-CN"/>
              </w:rPr>
              <w:t>采取评定分离法时，权重为</w:t>
            </w:r>
            <w:r>
              <w:rPr>
                <w:rFonts w:hint="eastAsia" w:asciiTheme="minorEastAsia" w:hAnsiTheme="minorEastAsia" w:eastAsiaTheme="minorEastAsia" w:cstheme="minorEastAsia"/>
                <w:sz w:val="18"/>
                <w:szCs w:val="18"/>
                <w:lang w:val="en-US" w:eastAsia="zh-CN"/>
              </w:rPr>
              <w:t>≤40%。</w:t>
            </w:r>
            <w:r>
              <w:rPr>
                <w:rFonts w:hint="eastAsia" w:asciiTheme="minorEastAsia" w:hAnsiTheme="minorEastAsia" w:eastAsiaTheme="minorEastAsia" w:cstheme="minorEastAsia"/>
                <w:sz w:val="18"/>
                <w:szCs w:val="18"/>
                <w:vertAlign w:val="baseline"/>
                <w:lang w:val="en-US" w:eastAsia="zh-CN"/>
              </w:rPr>
              <w:t>系统设置应符合此规定。</w:t>
            </w:r>
          </w:p>
        </w:tc>
        <w:tc>
          <w:tcPr>
            <w:tcW w:w="1081" w:type="dxa"/>
            <w:vAlign w:val="center"/>
          </w:tcPr>
          <w:p>
            <w:pPr>
              <w:ind w:firstLine="0" w:firstLineChars="0"/>
              <w:jc w:val="left"/>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分值</w:t>
            </w:r>
          </w:p>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设定</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评审标准小分可以自行设定，但不得超过该评审项目的总分值。</w:t>
            </w:r>
          </w:p>
        </w:tc>
        <w:tc>
          <w:tcPr>
            <w:tcW w:w="1081" w:type="dxa"/>
            <w:vAlign w:val="center"/>
          </w:tcPr>
          <w:p>
            <w:pPr>
              <w:ind w:firstLine="0" w:firstLineChars="0"/>
              <w:jc w:val="left"/>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计分</w:t>
            </w:r>
          </w:p>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规则</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应由评标委员会每位成员</w:t>
            </w:r>
            <w:r>
              <w:rPr>
                <w:rFonts w:hint="eastAsia" w:asciiTheme="minorEastAsia" w:hAnsiTheme="minorEastAsia" w:eastAsiaTheme="minorEastAsia" w:cstheme="minorEastAsia"/>
                <w:sz w:val="18"/>
                <w:szCs w:val="18"/>
                <w:lang w:eastAsia="zh-CN"/>
              </w:rPr>
              <w:t>独立评审计分</w:t>
            </w:r>
            <w:r>
              <w:rPr>
                <w:rFonts w:hint="eastAsia" w:asciiTheme="minorEastAsia" w:hAnsiTheme="minorEastAsia" w:eastAsiaTheme="minorEastAsia" w:cstheme="minorEastAsia"/>
                <w:sz w:val="18"/>
                <w:szCs w:val="18"/>
                <w:vertAlign w:val="baseline"/>
                <w:lang w:val="en-US" w:eastAsia="zh-CN"/>
              </w:rPr>
              <w:t>，</w:t>
            </w:r>
            <w:r>
              <w:rPr>
                <w:rFonts w:hint="eastAsia" w:asciiTheme="minorEastAsia" w:hAnsiTheme="minorEastAsia" w:eastAsiaTheme="minorEastAsia" w:cstheme="minorEastAsia"/>
                <w:sz w:val="18"/>
                <w:szCs w:val="18"/>
                <w:lang w:eastAsia="zh-CN"/>
              </w:rPr>
              <w:t>投标人的得分为去掉一个评审计分最高分和一个最低分后的平均值，</w:t>
            </w:r>
            <w:r>
              <w:rPr>
                <w:rFonts w:hint="eastAsia" w:asciiTheme="minorEastAsia" w:hAnsiTheme="minorEastAsia" w:eastAsiaTheme="minorEastAsia" w:cstheme="minorEastAsia"/>
                <w:sz w:val="18"/>
                <w:szCs w:val="18"/>
                <w:lang w:val="en-US" w:eastAsia="zh-CN"/>
              </w:rPr>
              <w:t>结果保留两位小数</w:t>
            </w:r>
            <w:r>
              <w:rPr>
                <w:rFonts w:hint="eastAsia" w:asciiTheme="minorEastAsia" w:hAnsiTheme="minorEastAsia" w:eastAsiaTheme="minorEastAsia" w:cstheme="minorEastAsia"/>
                <w:sz w:val="18"/>
                <w:szCs w:val="18"/>
                <w:lang w:eastAsia="zh-CN"/>
              </w:rPr>
              <w:t>。</w:t>
            </w:r>
          </w:p>
        </w:tc>
        <w:tc>
          <w:tcPr>
            <w:tcW w:w="1081" w:type="dxa"/>
            <w:vAlign w:val="center"/>
          </w:tcPr>
          <w:p>
            <w:pPr>
              <w:ind w:firstLine="0" w:firstLineChars="0"/>
              <w:jc w:val="left"/>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新增评</w:t>
            </w:r>
          </w:p>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审项目</w:t>
            </w:r>
          </w:p>
          <w:p>
            <w:pPr>
              <w:pStyle w:val="2"/>
              <w:jc w:val="center"/>
              <w:rPr>
                <w:rFonts w:hint="eastAsia"/>
                <w:lang w:val="en-US" w:eastAsia="zh-CN"/>
              </w:rPr>
            </w:pPr>
          </w:p>
        </w:tc>
        <w:tc>
          <w:tcPr>
            <w:tcW w:w="2954" w:type="dxa"/>
            <w:vAlign w:val="center"/>
          </w:tcPr>
          <w:p>
            <w:pPr>
              <w:tabs>
                <w:tab w:val="left" w:pos="312"/>
              </w:tabs>
              <w:ind w:firstLine="0" w:firstLineChars="0"/>
              <w:jc w:val="left"/>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rPr>
              <w:t>招标人可根据项目的实际情况对分值</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评审标准进行</w:t>
            </w:r>
            <w:r>
              <w:rPr>
                <w:rFonts w:hint="eastAsia" w:asciiTheme="minorEastAsia" w:hAnsiTheme="minorEastAsia" w:eastAsiaTheme="minorEastAsia" w:cstheme="minorEastAsia"/>
                <w:sz w:val="18"/>
                <w:szCs w:val="18"/>
                <w:lang w:val="en-US" w:eastAsia="zh-CN"/>
              </w:rPr>
              <w:t>适当调整</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如有</w:t>
            </w:r>
            <w:r>
              <w:rPr>
                <w:rFonts w:hint="eastAsia" w:asciiTheme="minorEastAsia" w:hAnsiTheme="minorEastAsia" w:eastAsiaTheme="minorEastAsia" w:cstheme="minorEastAsia"/>
                <w:sz w:val="18"/>
                <w:szCs w:val="18"/>
              </w:rPr>
              <w:t>补充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可以</w:t>
            </w:r>
            <w:r>
              <w:rPr>
                <w:rFonts w:hint="eastAsia" w:asciiTheme="minorEastAsia" w:hAnsiTheme="minorEastAsia" w:eastAsiaTheme="minorEastAsia" w:cstheme="minorEastAsia"/>
                <w:sz w:val="18"/>
                <w:szCs w:val="18"/>
              </w:rPr>
              <w:t>列入“其他”栏</w:t>
            </w:r>
            <w:r>
              <w:rPr>
                <w:rFonts w:hint="eastAsia" w:asciiTheme="minorEastAsia" w:hAnsiTheme="minorEastAsia" w:eastAsiaTheme="minorEastAsia" w:cstheme="minorEastAsia"/>
                <w:sz w:val="18"/>
                <w:szCs w:val="18"/>
                <w:lang w:eastAsia="zh-CN"/>
              </w:rPr>
              <w:t>。</w:t>
            </w:r>
          </w:p>
        </w:tc>
        <w:tc>
          <w:tcPr>
            <w:tcW w:w="1081" w:type="dxa"/>
            <w:vAlign w:val="center"/>
          </w:tcPr>
          <w:p>
            <w:pPr>
              <w:ind w:firstLine="0" w:firstLineChars="0"/>
              <w:jc w:val="left"/>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restart"/>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技术标评审</w:t>
            </w:r>
          </w:p>
          <w:p>
            <w:pPr>
              <w:pStyle w:val="2"/>
              <w:jc w:val="center"/>
              <w:rPr>
                <w:rFonts w:hint="eastAsia"/>
                <w:lang w:val="en-US" w:eastAsia="zh-CN"/>
              </w:rPr>
            </w:pPr>
          </w:p>
        </w:tc>
        <w:tc>
          <w:tcPr>
            <w:tcW w:w="1209"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评审标准的分类</w:t>
            </w:r>
          </w:p>
          <w:p>
            <w:pPr>
              <w:pStyle w:val="2"/>
              <w:jc w:val="center"/>
              <w:rPr>
                <w:rFonts w:hint="eastAsia"/>
                <w:lang w:val="en-US" w:eastAsia="zh-CN"/>
              </w:rPr>
            </w:pPr>
          </w:p>
        </w:tc>
        <w:tc>
          <w:tcPr>
            <w:tcW w:w="2954" w:type="dxa"/>
            <w:vAlign w:val="center"/>
          </w:tcPr>
          <w:p>
            <w:pPr>
              <w:ind w:firstLine="0" w:firstLineChars="0"/>
              <w:jc w:val="left"/>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按照工程类型、所处的设计阶段，技术标评审模板分为3种：</w:t>
            </w:r>
          </w:p>
          <w:p>
            <w:pPr>
              <w:ind w:firstLine="0" w:firstLineChars="0"/>
              <w:jc w:val="left"/>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1、适用于房屋建筑工程可行性研究、方案设计完成后启动的招标；</w:t>
            </w:r>
          </w:p>
          <w:p>
            <w:pPr>
              <w:numPr>
                <w:ilvl w:val="0"/>
                <w:numId w:val="0"/>
              </w:numPr>
              <w:ind w:leftChars="0" w:firstLine="0" w:firstLineChars="0"/>
              <w:jc w:val="left"/>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2、适用于市政工程可行性研究、方案设计完成后启动的招标；</w:t>
            </w:r>
          </w:p>
          <w:p>
            <w:pPr>
              <w:numPr>
                <w:ilvl w:val="0"/>
                <w:numId w:val="0"/>
              </w:numPr>
              <w:ind w:leftChars="0" w:firstLine="0" w:firstLineChars="0"/>
              <w:jc w:val="left"/>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3、适用于初步设计完成后启动的招标；</w:t>
            </w:r>
          </w:p>
        </w:tc>
        <w:tc>
          <w:tcPr>
            <w:tcW w:w="1081"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选择评标办法时，根据项目的实际情况来确定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权重</w:t>
            </w:r>
          </w:p>
          <w:p>
            <w:pPr>
              <w:ind w:firstLine="0" w:firstLineChars="0"/>
              <w:jc w:val="center"/>
              <w:rPr>
                <w:rFonts w:hint="eastAsia"/>
              </w:rPr>
            </w:pPr>
            <w:r>
              <w:rPr>
                <w:rFonts w:hint="eastAsia" w:asciiTheme="minorEastAsia" w:hAnsiTheme="minorEastAsia" w:eastAsiaTheme="minorEastAsia" w:cstheme="minorEastAsia"/>
                <w:sz w:val="18"/>
                <w:szCs w:val="18"/>
                <w:vertAlign w:val="baseline"/>
                <w:lang w:val="en-US" w:eastAsia="zh-CN"/>
              </w:rPr>
              <w:t>设定</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技术标为百分制评审。权重设定为≤20%，</w:t>
            </w:r>
            <w:r>
              <w:rPr>
                <w:rFonts w:hint="eastAsia" w:asciiTheme="minorEastAsia" w:hAnsiTheme="minorEastAsia" w:eastAsiaTheme="minorEastAsia" w:cstheme="minorEastAsia"/>
                <w:sz w:val="18"/>
                <w:szCs w:val="18"/>
                <w:highlight w:val="none"/>
                <w:lang w:val="en-US" w:eastAsia="zh-CN"/>
              </w:rPr>
              <w:t>采取评定分离法时，技术标为符合性定性评审，不计分</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lang w:val="en-US" w:eastAsia="zh-CN"/>
              </w:rPr>
              <w:t>系统设置应符合此规定。</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分值</w:t>
            </w:r>
          </w:p>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设定</w:t>
            </w:r>
          </w:p>
          <w:p>
            <w:pPr>
              <w:pStyle w:val="2"/>
              <w:jc w:val="center"/>
              <w:rPr>
                <w:rFonts w:hint="eastAsia"/>
              </w:rPr>
            </w:pPr>
          </w:p>
        </w:tc>
        <w:tc>
          <w:tcPr>
            <w:tcW w:w="2954" w:type="dxa"/>
            <w:vAlign w:val="center"/>
          </w:tcPr>
          <w:p>
            <w:pPr>
              <w:ind w:firstLine="0" w:firstLineChars="0"/>
              <w:jc w:val="left"/>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1、评审项目及分值范围有给定的分值区间，招标人可在此区间设定分值。</w:t>
            </w:r>
          </w:p>
          <w:p>
            <w:pPr>
              <w:ind w:firstLine="0" w:firstLineChars="0"/>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2、评审标准小分可以自行设定，但不得超过该评审项目的总分值。</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计分</w:t>
            </w:r>
          </w:p>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规则</w:t>
            </w:r>
          </w:p>
          <w:p>
            <w:pPr>
              <w:pStyle w:val="2"/>
              <w:jc w:val="center"/>
              <w:rPr>
                <w:rFonts w:hint="eastAsia"/>
                <w:lang w:val="en-US" w:eastAsia="zh-CN"/>
              </w:rPr>
            </w:pPr>
          </w:p>
        </w:tc>
        <w:tc>
          <w:tcPr>
            <w:tcW w:w="2954" w:type="dxa"/>
            <w:vAlign w:val="center"/>
          </w:tcPr>
          <w:p>
            <w:pPr>
              <w:ind w:firstLine="0" w:firstLineChars="0"/>
              <w:jc w:val="left"/>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应由评标委员会每位成员</w:t>
            </w:r>
            <w:r>
              <w:rPr>
                <w:rFonts w:hint="eastAsia" w:asciiTheme="minorEastAsia" w:hAnsiTheme="minorEastAsia" w:eastAsiaTheme="minorEastAsia" w:cstheme="minorEastAsia"/>
                <w:sz w:val="18"/>
                <w:szCs w:val="18"/>
                <w:lang w:eastAsia="zh-CN"/>
              </w:rPr>
              <w:t>独立评审计分</w:t>
            </w:r>
            <w:r>
              <w:rPr>
                <w:rFonts w:hint="eastAsia" w:asciiTheme="minorEastAsia" w:hAnsiTheme="minorEastAsia" w:eastAsiaTheme="minorEastAsia" w:cstheme="minorEastAsia"/>
                <w:sz w:val="18"/>
                <w:szCs w:val="18"/>
                <w:vertAlign w:val="baseline"/>
                <w:lang w:val="en-US" w:eastAsia="zh-CN"/>
              </w:rPr>
              <w:t>，</w:t>
            </w:r>
            <w:r>
              <w:rPr>
                <w:rFonts w:hint="eastAsia" w:asciiTheme="minorEastAsia" w:hAnsiTheme="minorEastAsia" w:eastAsiaTheme="minorEastAsia" w:cstheme="minorEastAsia"/>
                <w:sz w:val="18"/>
                <w:szCs w:val="18"/>
                <w:lang w:eastAsia="zh-CN"/>
              </w:rPr>
              <w:t>投标人的得分为去掉一个评审计分最高分和一个最低分后的平均值，</w:t>
            </w:r>
            <w:r>
              <w:rPr>
                <w:rFonts w:hint="eastAsia" w:asciiTheme="minorEastAsia" w:hAnsiTheme="minorEastAsia" w:eastAsiaTheme="minorEastAsia" w:cstheme="minorEastAsia"/>
                <w:sz w:val="18"/>
                <w:szCs w:val="18"/>
                <w:lang w:val="en-US" w:eastAsia="zh-CN"/>
              </w:rPr>
              <w:t>结果保留两位小数</w:t>
            </w:r>
            <w:r>
              <w:rPr>
                <w:rFonts w:hint="eastAsia" w:asciiTheme="minorEastAsia" w:hAnsiTheme="minorEastAsia" w:eastAsiaTheme="minorEastAsia" w:cstheme="minorEastAsia"/>
                <w:sz w:val="18"/>
                <w:szCs w:val="18"/>
                <w:lang w:eastAsia="zh-CN"/>
              </w:rPr>
              <w:t>。</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扣分</w:t>
            </w:r>
          </w:p>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规则</w:t>
            </w:r>
          </w:p>
          <w:p>
            <w:pPr>
              <w:pStyle w:val="2"/>
              <w:jc w:val="center"/>
              <w:rPr>
                <w:rFonts w:hint="eastAsia"/>
                <w:lang w:val="en-US" w:eastAsia="zh-CN"/>
              </w:rPr>
            </w:pPr>
          </w:p>
        </w:tc>
        <w:tc>
          <w:tcPr>
            <w:tcW w:w="2954" w:type="dxa"/>
            <w:vAlign w:val="center"/>
          </w:tcPr>
          <w:p>
            <w:pPr>
              <w:tabs>
                <w:tab w:val="left" w:pos="312"/>
              </w:tabs>
              <w:ind w:firstLine="0" w:firstLineChars="0"/>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bCs/>
                <w:color w:val="000000"/>
                <w:sz w:val="18"/>
                <w:szCs w:val="18"/>
                <w:highlight w:val="none"/>
                <w:lang w:eastAsia="zh-CN"/>
              </w:rPr>
              <w:t>评委对各投标人同一评分内容量化打分时，如最高得分与最低得分相差25%（含25%）以上时，应做出合理的解释说明，否则不予计分。</w:t>
            </w:r>
            <w:r>
              <w:rPr>
                <w:rFonts w:hint="eastAsia" w:asciiTheme="minorEastAsia" w:hAnsiTheme="minorEastAsia" w:eastAsiaTheme="minorEastAsia" w:cstheme="minorEastAsia"/>
                <w:bCs/>
                <w:color w:val="000000"/>
                <w:sz w:val="18"/>
                <w:szCs w:val="18"/>
                <w:highlight w:val="none"/>
              </w:rPr>
              <w:t>技术标评标时凡被评标委员会明确为明示和暗示的，应在技术标总得分（乘完权重后）中扣除：明示扣5分，暗示扣3分。</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新增评</w:t>
            </w:r>
          </w:p>
          <w:p>
            <w:pPr>
              <w:ind w:firstLine="0" w:firstLineChars="0"/>
              <w:jc w:val="center"/>
              <w:rPr>
                <w:rFonts w:hint="eastAsia"/>
              </w:rPr>
            </w:pPr>
            <w:r>
              <w:rPr>
                <w:rFonts w:hint="eastAsia" w:asciiTheme="minorEastAsia" w:hAnsiTheme="minorEastAsia" w:eastAsiaTheme="minorEastAsia" w:cstheme="minorEastAsia"/>
                <w:sz w:val="18"/>
                <w:szCs w:val="18"/>
                <w:vertAlign w:val="baseline"/>
                <w:lang w:val="en-US" w:eastAsia="zh-CN"/>
              </w:rPr>
              <w:t>审项目</w:t>
            </w:r>
          </w:p>
        </w:tc>
        <w:tc>
          <w:tcPr>
            <w:tcW w:w="2954" w:type="dxa"/>
            <w:vAlign w:val="center"/>
          </w:tcPr>
          <w:p>
            <w:pPr>
              <w:tabs>
                <w:tab w:val="left" w:pos="312"/>
              </w:tabs>
              <w:ind w:firstLine="0" w:firstLineChars="0"/>
              <w:jc w:val="left"/>
              <w:rPr>
                <w:rFonts w:hint="eastAsia"/>
              </w:rPr>
            </w:pPr>
            <w:r>
              <w:rPr>
                <w:rFonts w:hint="eastAsia" w:asciiTheme="minorEastAsia" w:hAnsiTheme="minorEastAsia" w:eastAsiaTheme="minorEastAsia" w:cstheme="minorEastAsia"/>
                <w:sz w:val="18"/>
                <w:szCs w:val="18"/>
              </w:rPr>
              <w:t>招标人可根据项目的实际情况对评审标准进行补充，补充内容列入“其他”栏；</w:t>
            </w:r>
          </w:p>
        </w:tc>
        <w:tc>
          <w:tcPr>
            <w:tcW w:w="1081" w:type="dxa"/>
            <w:vAlign w:val="center"/>
          </w:tcPr>
          <w:p>
            <w:pPr>
              <w:ind w:firstLine="0" w:firstLineChars="0"/>
              <w:jc w:val="center"/>
              <w:rPr>
                <w:rFonts w:hint="eastAsia"/>
              </w:rPr>
            </w:pPr>
          </w:p>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520" w:type="dxa"/>
            <w:gridSpan w:val="6"/>
            <w:tcBorders>
              <w:left w:val="nil"/>
              <w:bottom w:val="nil"/>
              <w:right w:val="nil"/>
            </w:tcBorders>
            <w:vAlign w:val="center"/>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tcBorders>
              <w:top w:val="single" w:color="auto" w:sz="4" w:space="0"/>
              <w:bottom w:val="nil"/>
            </w:tcBorders>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restart"/>
            <w:tcBorders>
              <w:top w:val="single" w:color="auto" w:sz="4" w:space="0"/>
              <w:bottom w:val="nil"/>
            </w:tcBorders>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restart"/>
            <w:tcBorders>
              <w:top w:val="single" w:color="auto" w:sz="4" w:space="0"/>
              <w:bottom w:val="nil"/>
            </w:tcBorders>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信用评价评审</w:t>
            </w:r>
          </w:p>
          <w:p>
            <w:pPr>
              <w:pStyle w:val="2"/>
              <w:jc w:val="center"/>
              <w:rPr>
                <w:rFonts w:hint="eastAsia"/>
                <w:lang w:val="en-US"/>
              </w:rPr>
            </w:pPr>
          </w:p>
        </w:tc>
        <w:tc>
          <w:tcPr>
            <w:tcW w:w="1209" w:type="dxa"/>
            <w:tcBorders>
              <w:top w:val="single" w:color="auto" w:sz="4" w:space="0"/>
              <w:bottom w:val="single" w:color="auto" w:sz="4" w:space="0"/>
            </w:tcBorders>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企业信用评价分值提取</w:t>
            </w:r>
          </w:p>
        </w:tc>
        <w:tc>
          <w:tcPr>
            <w:tcW w:w="2954" w:type="dxa"/>
            <w:tcBorders>
              <w:top w:val="single" w:color="auto" w:sz="4" w:space="0"/>
              <w:bottom w:val="single" w:color="auto" w:sz="4" w:space="0"/>
            </w:tcBorders>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color w:val="000000"/>
                <w:kern w:val="0"/>
                <w:sz w:val="18"/>
                <w:szCs w:val="18"/>
                <w:highlight w:val="none"/>
              </w:rPr>
              <w:t>按照《新疆维吾尔自治区建筑市场信用评价管理办法（试行）》规定，以投标企业投标截止时自治区住房城乡建设行业信用信息管理平台公布的信用分值为准，</w:t>
            </w:r>
            <w:r>
              <w:rPr>
                <w:rFonts w:hint="eastAsia" w:asciiTheme="minorEastAsia" w:hAnsiTheme="minorEastAsia" w:eastAsiaTheme="minorEastAsia" w:cstheme="minorEastAsia"/>
                <w:color w:val="000000"/>
                <w:kern w:val="0"/>
                <w:sz w:val="18"/>
                <w:szCs w:val="18"/>
                <w:highlight w:val="none"/>
                <w:lang w:val="en-US" w:eastAsia="zh-CN"/>
              </w:rPr>
              <w:t>系统</w:t>
            </w:r>
            <w:r>
              <w:rPr>
                <w:rFonts w:hint="eastAsia" w:asciiTheme="minorEastAsia" w:hAnsiTheme="minorEastAsia" w:eastAsiaTheme="minorEastAsia" w:cstheme="minorEastAsia"/>
                <w:sz w:val="18"/>
                <w:szCs w:val="18"/>
                <w:vertAlign w:val="baseline"/>
                <w:lang w:val="en-US" w:eastAsia="zh-CN"/>
              </w:rPr>
              <w:t>能准确快速从建设云提取企业信用评价得分。</w:t>
            </w:r>
          </w:p>
        </w:tc>
        <w:tc>
          <w:tcPr>
            <w:tcW w:w="1081" w:type="dxa"/>
            <w:tcBorders>
              <w:top w:val="single" w:color="auto" w:sz="4" w:space="0"/>
              <w:bottom w:val="single" w:color="auto" w:sz="4" w:space="0"/>
            </w:tcBorders>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Borders>
              <w:top w:val="nil"/>
            </w:tcBorders>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tcBorders>
              <w:top w:val="nil"/>
            </w:tcBorders>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tcBorders>
              <w:top w:val="nil"/>
            </w:tcBorders>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tcBorders>
              <w:top w:val="single" w:color="auto" w:sz="4" w:space="0"/>
            </w:tcBorders>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系统计</w:t>
            </w:r>
          </w:p>
          <w:p>
            <w:pPr>
              <w:pStyle w:val="2"/>
              <w:jc w:val="center"/>
              <w:rPr>
                <w:rFonts w:hint="eastAsia"/>
                <w:lang w:val="en-US" w:eastAsia="zh-CN"/>
              </w:rPr>
            </w:pPr>
          </w:p>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算得分</w:t>
            </w:r>
          </w:p>
          <w:p>
            <w:pPr>
              <w:pStyle w:val="2"/>
              <w:jc w:val="center"/>
              <w:rPr>
                <w:rFonts w:hint="eastAsia"/>
                <w:lang w:val="en-US" w:eastAsia="zh-CN"/>
              </w:rPr>
            </w:pPr>
          </w:p>
        </w:tc>
        <w:tc>
          <w:tcPr>
            <w:tcW w:w="2954" w:type="dxa"/>
            <w:tcBorders>
              <w:top w:val="single" w:color="auto" w:sz="4" w:space="0"/>
            </w:tcBorders>
            <w:vAlign w:val="center"/>
          </w:tcPr>
          <w:p>
            <w:pPr>
              <w:ind w:firstLine="0" w:firstLineChars="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非百分制评审，总分为10分固定分值不得调整，</w:t>
            </w:r>
            <w:r>
              <w:rPr>
                <w:rFonts w:hint="eastAsia" w:asciiTheme="minorEastAsia" w:hAnsiTheme="minorEastAsia" w:eastAsiaTheme="minorEastAsia" w:cstheme="minorEastAsia"/>
                <w:sz w:val="18"/>
                <w:szCs w:val="18"/>
              </w:rPr>
              <w:t>采用分值折算法，</w:t>
            </w:r>
            <w:r>
              <w:rPr>
                <w:rFonts w:hint="eastAsia" w:asciiTheme="minorEastAsia" w:hAnsiTheme="minorEastAsia" w:eastAsiaTheme="minorEastAsia" w:cstheme="minorEastAsia"/>
                <w:sz w:val="18"/>
                <w:szCs w:val="18"/>
                <w:lang w:val="en-US" w:eastAsia="zh-CN"/>
              </w:rPr>
              <w:t>由系统计算得分，施工、设计各占5分。</w:t>
            </w:r>
          </w:p>
          <w:p>
            <w:pPr>
              <w:pStyle w:val="2"/>
              <w:jc w:val="left"/>
              <w:rPr>
                <w:rFonts w:hint="eastAsia"/>
                <w:lang w:val="en-US" w:eastAsia="zh-CN"/>
              </w:rPr>
            </w:pPr>
          </w:p>
          <w:p>
            <w:pPr>
              <w:ind w:firstLine="0" w:firstLineChars="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施工：</w:t>
            </w:r>
            <w:r>
              <w:rPr>
                <w:rFonts w:hint="eastAsia" w:asciiTheme="minorEastAsia" w:hAnsiTheme="minorEastAsia" w:eastAsiaTheme="minorEastAsia" w:cstheme="minorEastAsia"/>
                <w:sz w:val="18"/>
                <w:szCs w:val="18"/>
              </w:rPr>
              <w:t>企业信用得分=信用分值÷1</w:t>
            </w:r>
            <w:r>
              <w:rPr>
                <w:rFonts w:hint="eastAsia" w:asciiTheme="minorEastAsia" w:hAnsiTheme="minorEastAsia" w:eastAsiaTheme="minorEastAsia" w:cstheme="minorEastAsia"/>
                <w:sz w:val="18"/>
                <w:szCs w:val="18"/>
                <w:lang w:val="en-US" w:eastAsia="zh-CN"/>
              </w:rPr>
              <w:t>50</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5；</w:t>
            </w:r>
          </w:p>
          <w:p>
            <w:pPr>
              <w:pStyle w:val="2"/>
              <w:jc w:val="left"/>
              <w:rPr>
                <w:rFonts w:hint="eastAsia"/>
                <w:lang w:val="en-US" w:eastAsia="zh-CN"/>
              </w:rPr>
            </w:pPr>
          </w:p>
          <w:p>
            <w:pPr>
              <w:ind w:firstLine="0" w:firstLineChars="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设计：</w:t>
            </w:r>
            <w:r>
              <w:rPr>
                <w:rFonts w:hint="eastAsia" w:asciiTheme="minorEastAsia" w:hAnsiTheme="minorEastAsia" w:eastAsiaTheme="minorEastAsia" w:cstheme="minorEastAsia"/>
                <w:sz w:val="18"/>
                <w:szCs w:val="18"/>
              </w:rPr>
              <w:t>企业信用得分=信用分值÷1</w:t>
            </w:r>
            <w:r>
              <w:rPr>
                <w:rFonts w:hint="eastAsia" w:asciiTheme="minorEastAsia" w:hAnsiTheme="minorEastAsia" w:eastAsiaTheme="minorEastAsia" w:cstheme="minorEastAsia"/>
                <w:sz w:val="18"/>
                <w:szCs w:val="18"/>
                <w:lang w:val="en-US" w:eastAsia="zh-CN"/>
              </w:rPr>
              <w:t>50</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5；</w:t>
            </w:r>
          </w:p>
          <w:p>
            <w:pPr>
              <w:pStyle w:val="2"/>
              <w:jc w:val="left"/>
              <w:rPr>
                <w:rFonts w:hint="eastAsia"/>
                <w:lang w:val="en-US" w:eastAsia="zh-CN"/>
              </w:rPr>
            </w:pPr>
          </w:p>
          <w:p>
            <w:pPr>
              <w:ind w:firstLine="0" w:firstLineChars="0"/>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总分=施工得分+设计得分。系统计算逻辑须符合此规定。</w:t>
            </w:r>
          </w:p>
          <w:p>
            <w:pPr>
              <w:pStyle w:val="2"/>
              <w:jc w:val="left"/>
              <w:rPr>
                <w:rFonts w:hint="eastAsia"/>
                <w:lang w:val="en-US" w:eastAsia="zh-CN"/>
              </w:rPr>
            </w:pPr>
          </w:p>
        </w:tc>
        <w:tc>
          <w:tcPr>
            <w:tcW w:w="1081" w:type="dxa"/>
            <w:tcBorders>
              <w:top w:val="single" w:color="auto" w:sz="4" w:space="0"/>
            </w:tcBorders>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若联合体成员大于2家时，同一类资质的，以信用评价得分最低的为准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restart"/>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投标报价评审</w:t>
            </w:r>
          </w:p>
          <w:p>
            <w:pPr>
              <w:pStyle w:val="2"/>
              <w:jc w:val="center"/>
              <w:rPr>
                <w:rFonts w:hint="eastAsia"/>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下浮系数（α、β）抽取</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在开标时，由系统在给定的区间进行抽取。</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权重</w:t>
            </w:r>
          </w:p>
          <w:p>
            <w:pPr>
              <w:ind w:firstLine="0" w:firstLineChars="0"/>
              <w:jc w:val="center"/>
              <w:rPr>
                <w:rFonts w:hint="eastAsia"/>
              </w:rPr>
            </w:pPr>
            <w:r>
              <w:rPr>
                <w:rFonts w:hint="eastAsia" w:asciiTheme="minorEastAsia" w:hAnsiTheme="minorEastAsia" w:eastAsiaTheme="minorEastAsia" w:cstheme="minorEastAsia"/>
                <w:sz w:val="18"/>
                <w:szCs w:val="18"/>
                <w:vertAlign w:val="baseline"/>
                <w:lang w:val="en-US" w:eastAsia="zh-CN"/>
              </w:rPr>
              <w:t>设定</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投标报价评审为百分制评审。权重设定为≥50%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lang w:val="en-US" w:eastAsia="zh-CN"/>
              </w:rPr>
              <w:t>系统设置应符合此规定。</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报价</w:t>
            </w:r>
          </w:p>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评审</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按照工程总承包综合评估法报价评审规则，由系统计算得分。通过人工评审进行效验比对结果。</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060" w:type="dxa"/>
            <w:vMerge w:val="continue"/>
            <w:vAlign w:val="center"/>
          </w:tcPr>
          <w:p>
            <w:pPr>
              <w:ind w:firstLine="0" w:firstLineChars="0"/>
              <w:jc w:val="center"/>
              <w:rPr>
                <w:rFonts w:hint="eastAsia" w:asciiTheme="minorEastAsia" w:hAnsiTheme="minorEastAsia" w:eastAsiaTheme="minorEastAsia" w:cstheme="minorEastAsia"/>
                <w:sz w:val="18"/>
                <w:szCs w:val="18"/>
                <w:vertAlign w:val="baseline"/>
              </w:rPr>
            </w:pPr>
          </w:p>
        </w:tc>
        <w:tc>
          <w:tcPr>
            <w:tcW w:w="1575"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结果汇总</w:t>
            </w:r>
          </w:p>
          <w:p>
            <w:pPr>
              <w:pStyle w:val="2"/>
              <w:jc w:val="center"/>
              <w:rPr>
                <w:rFonts w:hint="eastAsia"/>
                <w:lang w:val="en-US" w:eastAsia="zh-CN"/>
              </w:rPr>
            </w:pP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计算总得分</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总得分=商务标得分+技术标得分+信用评价得分+投标报价得分。</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3</w:t>
            </w:r>
          </w:p>
        </w:tc>
        <w:tc>
          <w:tcPr>
            <w:tcW w:w="1060"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评审结果</w:t>
            </w:r>
          </w:p>
        </w:tc>
        <w:tc>
          <w:tcPr>
            <w:tcW w:w="1575" w:type="dxa"/>
            <w:vAlign w:val="center"/>
          </w:tcPr>
          <w:p>
            <w:pPr>
              <w:ind w:firstLine="0" w:firstLineChars="0"/>
              <w:jc w:val="center"/>
              <w:rPr>
                <w:rFonts w:hint="eastAsia"/>
              </w:rPr>
            </w:pPr>
            <w:r>
              <w:rPr>
                <w:rFonts w:hint="eastAsia" w:asciiTheme="minorEastAsia" w:hAnsiTheme="minorEastAsia" w:eastAsiaTheme="minorEastAsia" w:cstheme="minorEastAsia"/>
                <w:sz w:val="18"/>
                <w:szCs w:val="18"/>
                <w:vertAlign w:val="baseline"/>
                <w:lang w:val="en-US" w:eastAsia="zh-CN"/>
              </w:rPr>
              <w:t>评审结果</w:t>
            </w:r>
          </w:p>
        </w:tc>
        <w:tc>
          <w:tcPr>
            <w:tcW w:w="1209" w:type="dxa"/>
            <w:vAlign w:val="center"/>
          </w:tcPr>
          <w:p>
            <w:pPr>
              <w:ind w:firstLine="0" w:firstLineChars="0"/>
              <w:jc w:val="center"/>
              <w:rPr>
                <w:rFonts w:hint="eastAsia"/>
                <w:lang w:val="en-US" w:eastAsia="zh-CN"/>
              </w:rPr>
            </w:pPr>
            <w:r>
              <w:rPr>
                <w:rFonts w:hint="eastAsia" w:asciiTheme="minorEastAsia" w:hAnsiTheme="minorEastAsia" w:eastAsiaTheme="minorEastAsia" w:cstheme="minorEastAsia"/>
                <w:sz w:val="18"/>
                <w:szCs w:val="18"/>
                <w:vertAlign w:val="baseline"/>
                <w:lang w:val="en-US" w:eastAsia="zh-CN"/>
              </w:rPr>
              <w:t>确定中标候选人</w:t>
            </w:r>
          </w:p>
        </w:tc>
        <w:tc>
          <w:tcPr>
            <w:tcW w:w="2954" w:type="dxa"/>
            <w:vAlign w:val="center"/>
          </w:tcPr>
          <w:p>
            <w:pPr>
              <w:ind w:firstLine="0" w:firstLineChars="0"/>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根据总得分高低确定中标候选人，由系统生成。</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Borders>
              <w:left w:val="nil"/>
              <w:right w:val="nil"/>
            </w:tcBorders>
            <w:vAlign w:val="center"/>
          </w:tcPr>
          <w:p>
            <w:pPr>
              <w:pStyle w:val="33"/>
              <w:numPr>
                <w:ilvl w:val="0"/>
                <w:numId w:val="3"/>
              </w:numPr>
              <w:spacing w:line="474" w:lineRule="exact"/>
              <w:ind w:left="0" w:leftChars="0" w:firstLine="0" w:firstLineChars="0"/>
              <w:jc w:val="both"/>
            </w:pPr>
            <w:r>
              <w:rPr>
                <w:rFonts w:hint="eastAsia"/>
                <w:lang w:eastAsia="zh-CN"/>
              </w:rPr>
              <w:t>电子辅助评标系统检测功能（工程总承包综合评估法评定分离版）</w:t>
            </w:r>
            <w:r>
              <w:t>具体内容如下：</w:t>
            </w:r>
          </w:p>
          <w:p>
            <w:pPr>
              <w:ind w:firstLine="0" w:firstLineChars="0"/>
              <w:jc w:val="center"/>
              <w:rPr>
                <w:rFonts w:hint="eastAsia" w:asciiTheme="minorEastAsia" w:hAnsiTheme="minorEastAsia" w:eastAsiaTheme="minorEastAsia" w:cstheme="minorEastAsia"/>
                <w:sz w:val="18"/>
                <w:szCs w:val="18"/>
                <w:vertAlign w:val="baseline"/>
              </w:rPr>
            </w:pPr>
          </w:p>
        </w:tc>
      </w:tr>
    </w:tbl>
    <w:p/>
    <w:p>
      <w:pPr>
        <w:ind w:firstLine="0" w:firstLineChars="0"/>
        <w:jc w:val="both"/>
        <w:rPr>
          <w:rFonts w:hint="eastAsia" w:asciiTheme="minorEastAsia" w:hAnsiTheme="minorEastAsia" w:eastAsiaTheme="minorEastAsia" w:cstheme="minorEastAsia"/>
          <w:sz w:val="18"/>
          <w:szCs w:val="18"/>
          <w:vertAlign w:val="baseline"/>
        </w:rPr>
      </w:pPr>
    </w:p>
    <w:p>
      <w:pPr>
        <w:ind w:firstLine="0" w:firstLineChars="0"/>
        <w:jc w:val="both"/>
        <w:rPr>
          <w:rFonts w:hint="eastAsia" w:asciiTheme="minorEastAsia" w:hAnsiTheme="minorEastAsia" w:eastAsiaTheme="minorEastAsia" w:cstheme="minorEastAsia"/>
          <w:sz w:val="18"/>
          <w:szCs w:val="18"/>
          <w:vertAlign w:val="baseline"/>
        </w:rPr>
      </w:pPr>
    </w:p>
    <w:tbl>
      <w:tblPr>
        <w:tblStyle w:val="17"/>
        <w:tblpPr w:leftFromText="180" w:rightFromText="180" w:vertAnchor="page" w:horzAnchor="page" w:tblpX="1825" w:tblpY="83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60"/>
        <w:gridCol w:w="1981"/>
        <w:gridCol w:w="1050"/>
        <w:gridCol w:w="2707"/>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41"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序号</w:t>
            </w:r>
          </w:p>
        </w:tc>
        <w:tc>
          <w:tcPr>
            <w:tcW w:w="106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评审流程</w:t>
            </w:r>
          </w:p>
        </w:tc>
        <w:tc>
          <w:tcPr>
            <w:tcW w:w="1981"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检测模块</w:t>
            </w: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检测点</w:t>
            </w:r>
          </w:p>
        </w:tc>
        <w:tc>
          <w:tcPr>
            <w:tcW w:w="2707"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检测指标</w:t>
            </w:r>
          </w:p>
        </w:tc>
        <w:tc>
          <w:tcPr>
            <w:tcW w:w="1081"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p>
            <w:pPr>
              <w:pStyle w:val="2"/>
              <w:jc w:val="both"/>
              <w:rPr>
                <w:rFonts w:hint="eastAsia"/>
                <w:lang w:val="en-US" w:eastAsia="zh-CN"/>
              </w:rPr>
            </w:pPr>
          </w:p>
        </w:tc>
        <w:tc>
          <w:tcPr>
            <w:tcW w:w="1060"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初步评审</w:t>
            </w:r>
          </w:p>
          <w:p>
            <w:pPr>
              <w:pStyle w:val="2"/>
              <w:jc w:val="both"/>
              <w:rPr>
                <w:rFonts w:hint="eastAsia"/>
                <w:lang w:val="en-US" w:eastAsia="zh-CN"/>
              </w:rPr>
            </w:pPr>
          </w:p>
        </w:tc>
        <w:tc>
          <w:tcPr>
            <w:tcW w:w="1981"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形式、实质性和投标人资格评审</w:t>
            </w:r>
          </w:p>
          <w:p>
            <w:pPr>
              <w:pStyle w:val="2"/>
              <w:jc w:val="both"/>
              <w:rPr>
                <w:rFonts w:hint="eastAsia"/>
                <w:lang w:val="en-US" w:eastAsia="zh-CN"/>
              </w:rPr>
            </w:pPr>
          </w:p>
        </w:tc>
        <w:tc>
          <w:tcPr>
            <w:tcW w:w="1050" w:type="dxa"/>
            <w:vAlign w:val="center"/>
          </w:tcPr>
          <w:p>
            <w:pPr>
              <w:ind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投标文件</w:t>
            </w:r>
            <w:r>
              <w:rPr>
                <w:rFonts w:hint="eastAsia" w:ascii="宋体" w:hAnsi="宋体" w:eastAsia="宋体" w:cs="宋体"/>
                <w:sz w:val="18"/>
                <w:szCs w:val="18"/>
                <w:vertAlign w:val="baseline"/>
                <w:lang w:val="en-US" w:eastAsia="zh-CN"/>
              </w:rPr>
              <w:t>准确的</w:t>
            </w:r>
            <w:r>
              <w:rPr>
                <w:rFonts w:hint="eastAsia" w:ascii="宋体" w:hAnsi="宋体" w:eastAsia="宋体" w:cs="宋体"/>
                <w:sz w:val="18"/>
                <w:szCs w:val="18"/>
                <w:vertAlign w:val="baseline"/>
              </w:rPr>
              <w:t>解析</w:t>
            </w:r>
          </w:p>
          <w:p>
            <w:pPr>
              <w:pStyle w:val="2"/>
              <w:jc w:val="both"/>
              <w:rPr>
                <w:rFonts w:hint="eastAsia"/>
              </w:rPr>
            </w:pPr>
          </w:p>
        </w:tc>
        <w:tc>
          <w:tcPr>
            <w:tcW w:w="2707" w:type="dxa"/>
          </w:tcPr>
          <w:p>
            <w:pPr>
              <w:numPr>
                <w:ilvl w:val="0"/>
                <w:numId w:val="0"/>
              </w:num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1、根据评审因素对投标文件进行解析、分置。在评审相应内容时能快速准确定位到投标文件的相应部分，供评标专家评审认定。</w:t>
            </w:r>
          </w:p>
          <w:p>
            <w:pPr>
              <w:pStyle w:val="2"/>
              <w:jc w:val="both"/>
              <w:rPr>
                <w:rFonts w:hint="eastAsia"/>
                <w:lang w:val="en-US" w:eastAsia="zh-CN"/>
              </w:rPr>
            </w:pPr>
          </w:p>
          <w:p>
            <w:pPr>
              <w:numPr>
                <w:ilvl w:val="0"/>
                <w:numId w:val="0"/>
              </w:num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2、实质性评审时能将开标时的相关数据推送至评标专家评审界面，让评标专家客观的对照进行评审。</w:t>
            </w:r>
          </w:p>
          <w:p>
            <w:pPr>
              <w:pStyle w:val="2"/>
              <w:jc w:val="both"/>
              <w:rPr>
                <w:rFonts w:hint="eastAsia"/>
                <w:lang w:val="en-US" w:eastAsia="zh-CN"/>
              </w:rPr>
            </w:pPr>
          </w:p>
        </w:tc>
        <w:tc>
          <w:tcPr>
            <w:tcW w:w="1081" w:type="dxa"/>
            <w:vAlign w:val="center"/>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此项未通过的，不得进入详细评阶段。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4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p>
            <w:pPr>
              <w:pStyle w:val="2"/>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p>
            <w:pPr>
              <w:pStyle w:val="3"/>
              <w:jc w:val="both"/>
              <w:rPr>
                <w:rFonts w:hint="eastAsia" w:ascii="宋体" w:hAnsi="宋体" w:eastAsia="宋体" w:cs="宋体"/>
                <w:sz w:val="18"/>
                <w:szCs w:val="18"/>
                <w:vertAlign w:val="baseline"/>
                <w:lang w:val="en-US" w:eastAsia="zh-CN"/>
              </w:rPr>
            </w:pPr>
          </w:p>
          <w:p>
            <w:pPr>
              <w:pStyle w:val="2"/>
              <w:jc w:val="both"/>
              <w:rPr>
                <w:rFonts w:hint="eastAsia"/>
                <w:lang w:val="en-US" w:eastAsia="zh-CN"/>
              </w:rPr>
            </w:pPr>
          </w:p>
        </w:tc>
        <w:tc>
          <w:tcPr>
            <w:tcW w:w="1060" w:type="dxa"/>
            <w:vMerge w:val="restart"/>
            <w:vAlign w:val="center"/>
          </w:tcPr>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详细评审</w:t>
            </w:r>
          </w:p>
          <w:p>
            <w:pPr>
              <w:pStyle w:val="2"/>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详细评审</w:t>
            </w: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2"/>
              <w:jc w:val="both"/>
              <w:rPr>
                <w:rFonts w:hint="eastAsia"/>
                <w:lang w:val="en-US" w:eastAsia="zh-CN"/>
              </w:rPr>
            </w:pPr>
          </w:p>
        </w:tc>
        <w:tc>
          <w:tcPr>
            <w:tcW w:w="198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商务标评审</w:t>
            </w:r>
          </w:p>
          <w:p>
            <w:pPr>
              <w:pStyle w:val="2"/>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jc w:val="both"/>
              <w:rPr>
                <w:rFonts w:hint="eastAsia" w:ascii="宋体" w:hAnsi="宋体" w:eastAsia="宋体" w:cs="宋体"/>
                <w:sz w:val="18"/>
                <w:szCs w:val="18"/>
                <w:vertAlign w:val="baseline"/>
                <w:lang w:val="en-US" w:eastAsia="zh-CN"/>
              </w:rPr>
            </w:pPr>
          </w:p>
          <w:p>
            <w:pPr>
              <w:pStyle w:val="3"/>
              <w:ind w:left="0" w:leftChars="0" w:firstLine="0" w:firstLineChars="0"/>
              <w:jc w:val="both"/>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商务标评审</w:t>
            </w:r>
          </w:p>
          <w:p>
            <w:pPr>
              <w:pStyle w:val="3"/>
              <w:jc w:val="both"/>
              <w:rPr>
                <w:rFonts w:hint="eastAsia" w:ascii="宋体" w:hAnsi="宋体" w:eastAsia="宋体" w:cs="宋体"/>
                <w:sz w:val="18"/>
                <w:szCs w:val="18"/>
                <w:vertAlign w:val="baseline"/>
                <w:lang w:val="en-US" w:eastAsia="zh-CN"/>
              </w:rPr>
            </w:pPr>
          </w:p>
          <w:p>
            <w:pPr>
              <w:pStyle w:val="2"/>
              <w:jc w:val="both"/>
              <w:rPr>
                <w:rFonts w:hint="eastAsia"/>
                <w:lang w:val="en-US" w:eastAsia="zh-CN"/>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权重</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设定</w:t>
            </w:r>
          </w:p>
        </w:tc>
        <w:tc>
          <w:tcPr>
            <w:tcW w:w="2707" w:type="dxa"/>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商务标为百分制评审。权重设定为≤40%，系统设置应符合此规定。</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41" w:type="dxa"/>
            <w:vMerge w:val="continue"/>
            <w:vAlign w:val="center"/>
          </w:tcPr>
          <w:p>
            <w:pPr>
              <w:ind w:firstLine="0" w:firstLineChars="0"/>
              <w:jc w:val="center"/>
              <w:rPr>
                <w:rFonts w:hint="eastAsia" w:ascii="宋体" w:hAnsi="宋体" w:eastAsia="宋体" w:cs="宋体"/>
                <w:sz w:val="18"/>
                <w:szCs w:val="18"/>
                <w:vertAlign w:val="baseline"/>
              </w:rPr>
            </w:pPr>
          </w:p>
        </w:tc>
        <w:tc>
          <w:tcPr>
            <w:tcW w:w="1060" w:type="dxa"/>
            <w:vMerge w:val="continue"/>
            <w:vAlign w:val="center"/>
          </w:tcPr>
          <w:p>
            <w:pPr>
              <w:ind w:firstLine="0" w:firstLineChars="0"/>
              <w:jc w:val="center"/>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分值</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设定</w:t>
            </w:r>
          </w:p>
        </w:tc>
        <w:tc>
          <w:tcPr>
            <w:tcW w:w="2707" w:type="dxa"/>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评审标准小分可以自行设定，但不得超过该评审项目的总分值。</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宋体" w:hAnsi="宋体" w:eastAsia="宋体" w:cs="宋体"/>
                <w:sz w:val="18"/>
                <w:szCs w:val="18"/>
                <w:vertAlign w:val="baseline"/>
              </w:rPr>
            </w:pPr>
          </w:p>
        </w:tc>
        <w:tc>
          <w:tcPr>
            <w:tcW w:w="1060" w:type="dxa"/>
            <w:vMerge w:val="continue"/>
            <w:vAlign w:val="center"/>
          </w:tcPr>
          <w:p>
            <w:pPr>
              <w:ind w:firstLine="0" w:firstLineChars="0"/>
              <w:jc w:val="center"/>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计分</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规则</w:t>
            </w:r>
          </w:p>
        </w:tc>
        <w:tc>
          <w:tcPr>
            <w:tcW w:w="2707" w:type="dxa"/>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应由评标委员会每位成员</w:t>
            </w:r>
            <w:r>
              <w:rPr>
                <w:rFonts w:hint="eastAsia" w:ascii="宋体" w:hAnsi="宋体" w:eastAsia="宋体" w:cs="宋体"/>
                <w:sz w:val="18"/>
                <w:szCs w:val="18"/>
                <w:lang w:eastAsia="zh-CN"/>
              </w:rPr>
              <w:t>独立评审计分</w:t>
            </w:r>
            <w:r>
              <w:rPr>
                <w:rFonts w:hint="eastAsia" w:ascii="宋体" w:hAnsi="宋体" w:eastAsia="宋体" w:cs="宋体"/>
                <w:sz w:val="18"/>
                <w:szCs w:val="18"/>
                <w:vertAlign w:val="baseline"/>
                <w:lang w:val="en-US" w:eastAsia="zh-CN"/>
              </w:rPr>
              <w:t>，</w:t>
            </w:r>
            <w:r>
              <w:rPr>
                <w:rFonts w:hint="eastAsia" w:ascii="宋体" w:hAnsi="宋体" w:eastAsia="宋体" w:cs="宋体"/>
                <w:sz w:val="18"/>
                <w:szCs w:val="18"/>
                <w:lang w:eastAsia="zh-CN"/>
              </w:rPr>
              <w:t>投标人的得分为去掉一个评审计分最高分和一个最低分后的平均值，</w:t>
            </w:r>
            <w:r>
              <w:rPr>
                <w:rFonts w:hint="eastAsia" w:ascii="宋体" w:hAnsi="宋体" w:eastAsia="宋体" w:cs="宋体"/>
                <w:sz w:val="18"/>
                <w:szCs w:val="18"/>
                <w:lang w:val="en-US" w:eastAsia="zh-CN"/>
              </w:rPr>
              <w:t>结果保留两位小数</w:t>
            </w:r>
            <w:r>
              <w:rPr>
                <w:rFonts w:hint="eastAsia" w:ascii="宋体" w:hAnsi="宋体" w:eastAsia="宋体" w:cs="宋体"/>
                <w:sz w:val="18"/>
                <w:szCs w:val="18"/>
                <w:lang w:eastAsia="zh-CN"/>
              </w:rPr>
              <w:t>。</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vAlign w:val="center"/>
          </w:tcPr>
          <w:p>
            <w:pPr>
              <w:ind w:firstLine="0" w:firstLineChars="0"/>
              <w:jc w:val="center"/>
              <w:rPr>
                <w:rFonts w:hint="eastAsia" w:ascii="宋体" w:hAnsi="宋体" w:eastAsia="宋体" w:cs="宋体"/>
                <w:sz w:val="18"/>
                <w:szCs w:val="18"/>
                <w:vertAlign w:val="baseline"/>
              </w:rPr>
            </w:pPr>
          </w:p>
        </w:tc>
        <w:tc>
          <w:tcPr>
            <w:tcW w:w="1060" w:type="dxa"/>
            <w:vMerge w:val="continue"/>
            <w:vAlign w:val="center"/>
          </w:tcPr>
          <w:p>
            <w:pPr>
              <w:ind w:firstLine="0" w:firstLineChars="0"/>
              <w:jc w:val="center"/>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新增评审项目</w:t>
            </w:r>
          </w:p>
        </w:tc>
        <w:tc>
          <w:tcPr>
            <w:tcW w:w="2707" w:type="dxa"/>
          </w:tcPr>
          <w:p>
            <w:pPr>
              <w:tabs>
                <w:tab w:val="left" w:pos="312"/>
              </w:tabs>
              <w:ind w:firstLine="0" w:firstLineChars="0"/>
              <w:jc w:val="both"/>
              <w:rPr>
                <w:rFonts w:hint="eastAsia" w:ascii="宋体" w:hAnsi="宋体" w:eastAsia="宋体" w:cs="宋体"/>
                <w:sz w:val="18"/>
                <w:szCs w:val="18"/>
                <w:vertAlign w:val="baseline"/>
                <w:lang w:eastAsia="zh-CN"/>
              </w:rPr>
            </w:pPr>
            <w:r>
              <w:rPr>
                <w:rFonts w:hint="eastAsia" w:ascii="宋体" w:hAnsi="宋体" w:eastAsia="宋体" w:cs="宋体"/>
                <w:sz w:val="18"/>
                <w:szCs w:val="18"/>
              </w:rPr>
              <w:t>招标人可根据项目的实际情况对分值</w:t>
            </w:r>
            <w:r>
              <w:rPr>
                <w:rFonts w:hint="eastAsia" w:ascii="宋体" w:hAnsi="宋体" w:eastAsia="宋体" w:cs="宋体"/>
                <w:sz w:val="18"/>
                <w:szCs w:val="18"/>
                <w:lang w:eastAsia="zh-CN"/>
              </w:rPr>
              <w:t>、</w:t>
            </w:r>
            <w:r>
              <w:rPr>
                <w:rFonts w:hint="eastAsia" w:ascii="宋体" w:hAnsi="宋体" w:eastAsia="宋体" w:cs="宋体"/>
                <w:sz w:val="18"/>
                <w:szCs w:val="18"/>
              </w:rPr>
              <w:t>评审标准进行</w:t>
            </w:r>
            <w:r>
              <w:rPr>
                <w:rFonts w:hint="eastAsia" w:ascii="宋体" w:hAnsi="宋体" w:eastAsia="宋体" w:cs="宋体"/>
                <w:sz w:val="18"/>
                <w:szCs w:val="18"/>
                <w:lang w:val="en-US" w:eastAsia="zh-CN"/>
              </w:rPr>
              <w:t>适当调整</w:t>
            </w:r>
            <w:r>
              <w:rPr>
                <w:rFonts w:hint="eastAsia" w:ascii="宋体" w:hAnsi="宋体" w:eastAsia="宋体" w:cs="宋体"/>
                <w:sz w:val="18"/>
                <w:szCs w:val="18"/>
              </w:rPr>
              <w:t>；</w:t>
            </w:r>
            <w:r>
              <w:rPr>
                <w:rFonts w:hint="eastAsia" w:ascii="宋体" w:hAnsi="宋体" w:eastAsia="宋体" w:cs="宋体"/>
                <w:sz w:val="18"/>
                <w:szCs w:val="18"/>
                <w:lang w:val="en-US" w:eastAsia="zh-CN"/>
              </w:rPr>
              <w:t>如有</w:t>
            </w:r>
            <w:r>
              <w:rPr>
                <w:rFonts w:hint="eastAsia" w:ascii="宋体" w:hAnsi="宋体" w:eastAsia="宋体" w:cs="宋体"/>
                <w:sz w:val="18"/>
                <w:szCs w:val="18"/>
              </w:rPr>
              <w:t>补充</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可以</w:t>
            </w:r>
            <w:r>
              <w:rPr>
                <w:rFonts w:hint="eastAsia" w:ascii="宋体" w:hAnsi="宋体" w:eastAsia="宋体" w:cs="宋体"/>
                <w:sz w:val="18"/>
                <w:szCs w:val="18"/>
              </w:rPr>
              <w:t>列入“其他”栏</w:t>
            </w:r>
            <w:r>
              <w:rPr>
                <w:rFonts w:hint="eastAsia" w:ascii="宋体" w:hAnsi="宋体" w:eastAsia="宋体" w:cs="宋体"/>
                <w:sz w:val="18"/>
                <w:szCs w:val="18"/>
                <w:lang w:eastAsia="zh-CN"/>
              </w:rPr>
              <w:t>。</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信用评价评审</w:t>
            </w:r>
          </w:p>
          <w:p>
            <w:pPr>
              <w:pStyle w:val="2"/>
              <w:jc w:val="both"/>
              <w:rPr>
                <w:rFonts w:hint="eastAsia"/>
                <w:lang w:val="en-US" w:eastAsia="zh-CN"/>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企业信用评价分值提取</w:t>
            </w:r>
          </w:p>
        </w:tc>
        <w:tc>
          <w:tcPr>
            <w:tcW w:w="2707" w:type="dxa"/>
            <w:vAlign w:val="top"/>
          </w:tcPr>
          <w:p>
            <w:pPr>
              <w:ind w:firstLine="0" w:firstLineChars="0"/>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color w:val="000000"/>
                <w:kern w:val="0"/>
                <w:sz w:val="18"/>
                <w:szCs w:val="18"/>
                <w:highlight w:val="none"/>
              </w:rPr>
              <w:t>按照《新疆维吾尔自治区建筑市场信用评价管理办法（试行）》规定，以投标企业投标截止时自治区住房城乡建设行业信用信息管理平台公布的信用分值为准，</w:t>
            </w:r>
            <w:r>
              <w:rPr>
                <w:rFonts w:hint="eastAsia" w:ascii="宋体" w:hAnsi="宋体" w:eastAsia="宋体" w:cs="宋体"/>
                <w:color w:val="000000"/>
                <w:kern w:val="0"/>
                <w:sz w:val="18"/>
                <w:szCs w:val="18"/>
                <w:highlight w:val="none"/>
                <w:lang w:val="en-US" w:eastAsia="zh-CN"/>
              </w:rPr>
              <w:t>系统</w:t>
            </w:r>
            <w:r>
              <w:rPr>
                <w:rFonts w:hint="eastAsia" w:ascii="宋体" w:hAnsi="宋体" w:eastAsia="宋体" w:cs="宋体"/>
                <w:sz w:val="18"/>
                <w:szCs w:val="18"/>
                <w:vertAlign w:val="baseline"/>
                <w:lang w:val="en-US" w:eastAsia="zh-CN"/>
              </w:rPr>
              <w:t>能准确快速从建设云提取企业信用评价得分。</w:t>
            </w:r>
          </w:p>
        </w:tc>
        <w:tc>
          <w:tcPr>
            <w:tcW w:w="1081" w:type="dxa"/>
            <w:vAlign w:val="top"/>
          </w:tcPr>
          <w:p>
            <w:pPr>
              <w:ind w:firstLine="0" w:firstLineChars="0"/>
              <w:jc w:val="both"/>
              <w:rPr>
                <w:rFonts w:hint="eastAsia" w:ascii="宋体" w:hAnsi="宋体" w:eastAsia="宋体" w:cs="宋体"/>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系统计算得分</w:t>
            </w:r>
          </w:p>
          <w:p>
            <w:pPr>
              <w:pStyle w:val="2"/>
              <w:jc w:val="both"/>
              <w:rPr>
                <w:rFonts w:hint="eastAsia"/>
                <w:lang w:val="en-US" w:eastAsia="zh-CN"/>
              </w:rPr>
            </w:pPr>
          </w:p>
        </w:tc>
        <w:tc>
          <w:tcPr>
            <w:tcW w:w="2707" w:type="dxa"/>
            <w:vAlign w:val="top"/>
          </w:tcPr>
          <w:p>
            <w:p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非百分制评审，总分为10分固定分值不得调整，</w:t>
            </w:r>
            <w:r>
              <w:rPr>
                <w:rFonts w:hint="eastAsia" w:ascii="宋体" w:hAnsi="宋体" w:eastAsia="宋体" w:cs="宋体"/>
                <w:sz w:val="18"/>
                <w:szCs w:val="18"/>
              </w:rPr>
              <w:t>采用分值折算法，</w:t>
            </w:r>
            <w:r>
              <w:rPr>
                <w:rFonts w:hint="eastAsia" w:ascii="宋体" w:hAnsi="宋体" w:eastAsia="宋体" w:cs="宋体"/>
                <w:sz w:val="18"/>
                <w:szCs w:val="18"/>
                <w:lang w:val="en-US" w:eastAsia="zh-CN"/>
              </w:rPr>
              <w:t>由系统计算得分，施工、设计各占5分。</w:t>
            </w:r>
          </w:p>
          <w:p>
            <w:pPr>
              <w:pStyle w:val="2"/>
              <w:jc w:val="both"/>
              <w:rPr>
                <w:rFonts w:hint="eastAsia"/>
                <w:lang w:val="en-US" w:eastAsia="zh-CN"/>
              </w:rPr>
            </w:pPr>
          </w:p>
          <w:p>
            <w:p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施工：</w:t>
            </w:r>
            <w:r>
              <w:rPr>
                <w:rFonts w:hint="eastAsia" w:ascii="宋体" w:hAnsi="宋体" w:eastAsia="宋体" w:cs="宋体"/>
                <w:sz w:val="18"/>
                <w:szCs w:val="18"/>
              </w:rPr>
              <w:t>企业信用得分=信用分值÷1</w:t>
            </w:r>
            <w:r>
              <w:rPr>
                <w:rFonts w:hint="eastAsia" w:ascii="宋体" w:hAnsi="宋体" w:eastAsia="宋体" w:cs="宋体"/>
                <w:sz w:val="18"/>
                <w:szCs w:val="18"/>
                <w:lang w:val="en-US" w:eastAsia="zh-CN"/>
              </w:rPr>
              <w:t>50</w:t>
            </w:r>
            <w:r>
              <w:rPr>
                <w:rFonts w:hint="eastAsia" w:ascii="宋体" w:hAnsi="宋体" w:eastAsia="宋体" w:cs="宋体"/>
                <w:sz w:val="18"/>
                <w:szCs w:val="18"/>
              </w:rPr>
              <w:t>×</w:t>
            </w:r>
            <w:r>
              <w:rPr>
                <w:rFonts w:hint="eastAsia" w:ascii="宋体" w:hAnsi="宋体" w:eastAsia="宋体" w:cs="宋体"/>
                <w:sz w:val="18"/>
                <w:szCs w:val="18"/>
                <w:lang w:val="en-US" w:eastAsia="zh-CN"/>
              </w:rPr>
              <w:t>5；</w:t>
            </w:r>
          </w:p>
          <w:p>
            <w:pPr>
              <w:pStyle w:val="2"/>
              <w:jc w:val="both"/>
              <w:rPr>
                <w:rFonts w:hint="eastAsia"/>
                <w:lang w:val="en-US" w:eastAsia="zh-CN"/>
              </w:rPr>
            </w:pPr>
          </w:p>
          <w:p>
            <w:p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设计：</w:t>
            </w:r>
            <w:r>
              <w:rPr>
                <w:rFonts w:hint="eastAsia" w:ascii="宋体" w:hAnsi="宋体" w:eastAsia="宋体" w:cs="宋体"/>
                <w:sz w:val="18"/>
                <w:szCs w:val="18"/>
              </w:rPr>
              <w:t>企业信用得分=信用分值÷1</w:t>
            </w:r>
            <w:r>
              <w:rPr>
                <w:rFonts w:hint="eastAsia" w:ascii="宋体" w:hAnsi="宋体" w:eastAsia="宋体" w:cs="宋体"/>
                <w:sz w:val="18"/>
                <w:szCs w:val="18"/>
                <w:lang w:val="en-US" w:eastAsia="zh-CN"/>
              </w:rPr>
              <w:t>5</w:t>
            </w:r>
            <w:r>
              <w:rPr>
                <w:rFonts w:hint="eastAsia" w:ascii="宋体" w:hAnsi="宋体" w:eastAsia="宋体" w:cs="宋体"/>
                <w:sz w:val="18"/>
                <w:szCs w:val="18"/>
              </w:rPr>
              <w:t>0×</w:t>
            </w:r>
            <w:r>
              <w:rPr>
                <w:rFonts w:hint="eastAsia" w:ascii="宋体" w:hAnsi="宋体" w:eastAsia="宋体" w:cs="宋体"/>
                <w:sz w:val="18"/>
                <w:szCs w:val="18"/>
                <w:lang w:val="en-US" w:eastAsia="zh-CN"/>
              </w:rPr>
              <w:t>5；</w:t>
            </w:r>
          </w:p>
          <w:p>
            <w:pPr>
              <w:pStyle w:val="2"/>
              <w:jc w:val="both"/>
              <w:rPr>
                <w:rFonts w:hint="eastAsia"/>
                <w:lang w:val="en-US" w:eastAsia="zh-CN"/>
              </w:rPr>
            </w:pPr>
          </w:p>
          <w:p>
            <w:p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总分=施工得分+设计得分。系统计算逻辑须符合此规定。</w:t>
            </w:r>
          </w:p>
          <w:p>
            <w:pPr>
              <w:pStyle w:val="2"/>
              <w:jc w:val="both"/>
              <w:rPr>
                <w:rFonts w:hint="eastAsia"/>
                <w:lang w:val="en-US" w:eastAsia="zh-CN"/>
              </w:rPr>
            </w:pPr>
          </w:p>
        </w:tc>
        <w:tc>
          <w:tcPr>
            <w:tcW w:w="1081" w:type="dxa"/>
            <w:vAlign w:val="top"/>
          </w:tcPr>
          <w:p>
            <w:pPr>
              <w:ind w:firstLine="0" w:firstLineChars="0"/>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若联合体成员大于2家时，同一类资质的，以信用评价得分最低的为准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投标报价评审</w:t>
            </w:r>
          </w:p>
          <w:p>
            <w:pPr>
              <w:pStyle w:val="2"/>
              <w:jc w:val="both"/>
              <w:rPr>
                <w:rFonts w:hint="eastAsia"/>
                <w:lang w:val="en-US" w:eastAsia="zh-CN"/>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下浮系数（α、β）抽取</w:t>
            </w:r>
          </w:p>
        </w:tc>
        <w:tc>
          <w:tcPr>
            <w:tcW w:w="2707" w:type="dxa"/>
            <w:vAlign w:val="top"/>
          </w:tcPr>
          <w:p>
            <w:pPr>
              <w:ind w:firstLine="0" w:firstLineChars="0"/>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在开标时，由系统在给定的区间进行抽取。</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权重</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设定</w:t>
            </w:r>
          </w:p>
        </w:tc>
        <w:tc>
          <w:tcPr>
            <w:tcW w:w="2707" w:type="dxa"/>
            <w:vAlign w:val="top"/>
          </w:tcPr>
          <w:p>
            <w:pPr>
              <w:ind w:firstLine="0" w:firstLineChars="0"/>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投标报价评审为百分制评审。权重设定为≥50%</w:t>
            </w:r>
            <w:r>
              <w:rPr>
                <w:rFonts w:hint="eastAsia" w:ascii="宋体" w:hAnsi="宋体" w:eastAsia="宋体" w:cs="宋体"/>
                <w:sz w:val="18"/>
                <w:szCs w:val="18"/>
                <w:lang w:val="en-US" w:eastAsia="zh-CN"/>
              </w:rPr>
              <w:t>。</w:t>
            </w:r>
            <w:r>
              <w:rPr>
                <w:rFonts w:hint="eastAsia" w:ascii="宋体" w:hAnsi="宋体" w:eastAsia="宋体" w:cs="宋体"/>
                <w:sz w:val="18"/>
                <w:szCs w:val="18"/>
                <w:vertAlign w:val="baseline"/>
                <w:lang w:val="en-US" w:eastAsia="zh-CN"/>
              </w:rPr>
              <w:t>系统设置应符合此规定。</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报价</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评审</w:t>
            </w:r>
          </w:p>
        </w:tc>
        <w:tc>
          <w:tcPr>
            <w:tcW w:w="2707" w:type="dxa"/>
            <w:vAlign w:val="top"/>
          </w:tcPr>
          <w:p>
            <w:pPr>
              <w:ind w:firstLine="0" w:firstLineChars="0"/>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按照工程总承包综合评估法报价评审规则，由系统计算得分。通过人工评审进行效验比对结果。</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确定入围投标人数量</w:t>
            </w:r>
          </w:p>
          <w:p>
            <w:pPr>
              <w:pStyle w:val="2"/>
              <w:jc w:val="both"/>
              <w:rPr>
                <w:rFonts w:hint="eastAsia"/>
                <w:lang w:val="en-US" w:eastAsia="zh-CN"/>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计算</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得分</w:t>
            </w:r>
          </w:p>
        </w:tc>
        <w:tc>
          <w:tcPr>
            <w:tcW w:w="2707" w:type="dxa"/>
          </w:tcPr>
          <w:p>
            <w:pPr>
              <w:tabs>
                <w:tab w:val="left" w:pos="312"/>
              </w:tabs>
              <w:ind w:firstLine="0" w:firstLineChars="0"/>
              <w:jc w:val="both"/>
              <w:rPr>
                <w:rFonts w:hint="eastAsia" w:ascii="宋体" w:hAnsi="宋体" w:eastAsia="宋体" w:cs="宋体"/>
                <w:sz w:val="18"/>
                <w:szCs w:val="18"/>
              </w:rPr>
            </w:pPr>
            <w:r>
              <w:rPr>
                <w:rFonts w:hint="eastAsia" w:ascii="宋体" w:hAnsi="宋体" w:eastAsia="宋体" w:cs="宋体"/>
                <w:sz w:val="18"/>
                <w:szCs w:val="18"/>
                <w:vertAlign w:val="baseline"/>
                <w:lang w:val="en-US" w:eastAsia="zh-CN"/>
              </w:rPr>
              <w:t>得分=商务标得分+信用评价得分+投标报价得分。</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确定入围投标人</w:t>
            </w:r>
          </w:p>
          <w:p>
            <w:pPr>
              <w:pStyle w:val="2"/>
              <w:jc w:val="both"/>
              <w:rPr>
                <w:rFonts w:hint="eastAsia"/>
                <w:lang w:val="en-US" w:eastAsia="zh-CN"/>
              </w:rPr>
            </w:pPr>
          </w:p>
        </w:tc>
        <w:tc>
          <w:tcPr>
            <w:tcW w:w="2707" w:type="dxa"/>
          </w:tcPr>
          <w:p>
            <w:pPr>
              <w:numPr>
                <w:ilvl w:val="0"/>
                <w:numId w:val="0"/>
              </w:numPr>
              <w:shd w:val="clear" w:color="auto" w:fill="FFFFFF"/>
              <w:ind w:firstLine="0" w:firstLineChars="0"/>
              <w:jc w:val="both"/>
              <w:rPr>
                <w:rFonts w:hint="eastAsia" w:ascii="宋体" w:hAnsi="宋体" w:eastAsia="宋体" w:cs="宋体"/>
                <w:sz w:val="18"/>
                <w:szCs w:val="18"/>
              </w:rPr>
            </w:pPr>
            <w:r>
              <w:rPr>
                <w:rFonts w:hint="eastAsia" w:ascii="宋体" w:hAnsi="宋体" w:eastAsia="宋体" w:cs="宋体"/>
                <w:sz w:val="18"/>
                <w:szCs w:val="18"/>
                <w:vertAlign w:val="baseline"/>
                <w:lang w:val="en-US" w:eastAsia="zh-CN"/>
              </w:rPr>
              <w:t>评标委员会根据计算得分由高到低依次排序，选取前X名为入围投标人（当出现投标人名次相同时，由评标委员会按投标报价由低到高进行排序）并对其投标文件进行下阶段评审（X为推荐入围投标人数量，由招标人在招标文件中明确具体数值）。</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技术标评审</w:t>
            </w:r>
          </w:p>
          <w:p>
            <w:pPr>
              <w:pStyle w:val="2"/>
              <w:jc w:val="both"/>
              <w:rPr>
                <w:rFonts w:hint="eastAsia"/>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评审标准的分类</w:t>
            </w:r>
          </w:p>
        </w:tc>
        <w:tc>
          <w:tcPr>
            <w:tcW w:w="2707" w:type="dxa"/>
            <w:vAlign w:val="top"/>
          </w:tcPr>
          <w:p>
            <w:pPr>
              <w:ind w:firstLine="0" w:firstLineChars="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按照工程类型、所处的设计阶段，评定分离技术标评审模板分为3种：</w:t>
            </w:r>
          </w:p>
          <w:p>
            <w:pPr>
              <w:pStyle w:val="2"/>
              <w:jc w:val="both"/>
              <w:rPr>
                <w:rFonts w:hint="eastAsia" w:asciiTheme="minorEastAsia" w:hAnsiTheme="minorEastAsia" w:eastAsiaTheme="minorEastAsia" w:cstheme="minorEastAsia"/>
                <w:sz w:val="18"/>
                <w:szCs w:val="18"/>
                <w:lang w:val="en-US" w:eastAsia="zh-CN"/>
              </w:rPr>
            </w:pPr>
          </w:p>
          <w:p>
            <w:pPr>
              <w:numPr>
                <w:ilvl w:val="0"/>
                <w:numId w:val="5"/>
              </w:numPr>
              <w:ind w:leftChars="0" w:firstLine="0" w:firstLineChars="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适用于房屋建筑工程可行性研究、方案设计完成后启动的招标（评定分离版）；</w:t>
            </w:r>
          </w:p>
          <w:p>
            <w:pPr>
              <w:numPr>
                <w:ilvl w:val="0"/>
                <w:numId w:val="0"/>
              </w:numPr>
              <w:ind w:leftChars="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2、适用于市政工程可行性研究、方案设计完成后启动的招标（评定分离版）；</w:t>
            </w:r>
          </w:p>
          <w:p>
            <w:pPr>
              <w:numPr>
                <w:ilvl w:val="0"/>
                <w:numId w:val="0"/>
              </w:numPr>
              <w:ind w:left="0" w:leftChars="0" w:firstLine="0" w:firstLineChars="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3、适用于初步设计完成后启动的招标（评定分离版）</w:t>
            </w:r>
          </w:p>
          <w:p>
            <w:pPr>
              <w:pStyle w:val="2"/>
              <w:jc w:val="both"/>
              <w:rPr>
                <w:rFonts w:hint="eastAsia"/>
              </w:rPr>
            </w:pP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定性</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评审</w:t>
            </w:r>
          </w:p>
        </w:tc>
        <w:tc>
          <w:tcPr>
            <w:tcW w:w="2707" w:type="dxa"/>
          </w:tcPr>
          <w:p>
            <w:pPr>
              <w:numPr>
                <w:ilvl w:val="0"/>
                <w:numId w:val="0"/>
              </w:numPr>
              <w:ind w:leftChars="0" w:firstLine="0" w:firstLineChars="0"/>
              <w:jc w:val="both"/>
              <w:rPr>
                <w:rFonts w:hint="eastAsia" w:ascii="宋体" w:hAnsi="宋体" w:eastAsia="宋体" w:cs="宋体"/>
                <w:sz w:val="18"/>
                <w:szCs w:val="18"/>
              </w:rPr>
            </w:pPr>
            <w:r>
              <w:rPr>
                <w:rFonts w:hint="eastAsia" w:ascii="宋体" w:hAnsi="宋体" w:eastAsia="宋体" w:cs="宋体"/>
                <w:sz w:val="18"/>
                <w:szCs w:val="18"/>
                <w:vertAlign w:val="baseline"/>
                <w:lang w:val="en-US" w:eastAsia="zh-CN"/>
              </w:rPr>
              <w:t>技术标评审采用暗标和评委个人单独评审方式进行，评标委员会成员应指出每家投标人技术标的优点和存在的缺陷、签订合同前应注意和澄清的事项等情况。</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981" w:type="dxa"/>
            <w:vMerge w:val="continue"/>
            <w:vAlign w:val="center"/>
          </w:tcPr>
          <w:p>
            <w:pPr>
              <w:ind w:firstLine="0" w:firstLineChars="0"/>
              <w:jc w:val="center"/>
              <w:rPr>
                <w:rFonts w:hint="eastAsia" w:ascii="宋体" w:hAnsi="宋体" w:eastAsia="宋体" w:cs="宋体"/>
                <w:sz w:val="18"/>
                <w:szCs w:val="18"/>
                <w:vertAlign w:val="baseline"/>
              </w:rPr>
            </w:pPr>
          </w:p>
        </w:tc>
        <w:tc>
          <w:tcPr>
            <w:tcW w:w="1050"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汇总评审意见</w:t>
            </w:r>
          </w:p>
          <w:p>
            <w:pPr>
              <w:pStyle w:val="2"/>
              <w:jc w:val="both"/>
              <w:rPr>
                <w:rFonts w:hint="eastAsia"/>
                <w:lang w:val="en-US" w:eastAsia="zh-CN"/>
              </w:rPr>
            </w:pPr>
          </w:p>
        </w:tc>
        <w:tc>
          <w:tcPr>
            <w:tcW w:w="2707" w:type="dxa"/>
          </w:tcPr>
          <w:p>
            <w:pPr>
              <w:pStyle w:val="2"/>
              <w:ind w:firstLine="0" w:firstLineChars="0"/>
              <w:jc w:val="both"/>
              <w:rPr>
                <w:rFonts w:hint="eastAsia" w:ascii="宋体" w:hAnsi="宋体" w:eastAsia="宋体" w:cs="宋体"/>
                <w:sz w:val="18"/>
                <w:szCs w:val="18"/>
              </w:rPr>
            </w:pPr>
            <w:r>
              <w:rPr>
                <w:rFonts w:hint="eastAsia" w:ascii="宋体" w:hAnsi="宋体" w:eastAsia="宋体" w:cs="宋体"/>
                <w:kern w:val="2"/>
                <w:sz w:val="18"/>
                <w:szCs w:val="18"/>
                <w:vertAlign w:val="baseline"/>
                <w:lang w:val="en-US" w:eastAsia="zh-CN" w:bidi="ar-SA"/>
              </w:rPr>
              <w:t>评委个人评审完成后，由评标委员会组长组织评标委员会成员按照技术标定性评审汇总表汇总评审情况。此内容由系统汇总生成。</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Borders>
              <w:bottom w:val="single" w:color="auto" w:sz="4" w:space="0"/>
            </w:tcBorders>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p>
            <w:pPr>
              <w:pStyle w:val="2"/>
              <w:jc w:val="both"/>
              <w:rPr>
                <w:rFonts w:hint="eastAsia"/>
                <w:lang w:val="en-US" w:eastAsia="zh-CN"/>
              </w:rPr>
            </w:pPr>
          </w:p>
        </w:tc>
        <w:tc>
          <w:tcPr>
            <w:tcW w:w="1060" w:type="dxa"/>
            <w:tcBorders>
              <w:bottom w:val="single" w:color="auto" w:sz="4" w:space="0"/>
            </w:tcBorders>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评审结果</w:t>
            </w:r>
          </w:p>
          <w:p>
            <w:pPr>
              <w:pStyle w:val="2"/>
              <w:jc w:val="both"/>
              <w:rPr>
                <w:rFonts w:hint="eastAsia"/>
                <w:lang w:val="en-US" w:eastAsia="zh-CN"/>
              </w:rPr>
            </w:pPr>
          </w:p>
        </w:tc>
        <w:tc>
          <w:tcPr>
            <w:tcW w:w="1981" w:type="dxa"/>
            <w:tcBorders>
              <w:bottom w:val="single" w:color="auto" w:sz="4" w:space="0"/>
            </w:tcBorders>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评审结果</w:t>
            </w:r>
          </w:p>
          <w:p>
            <w:pPr>
              <w:pStyle w:val="2"/>
              <w:jc w:val="both"/>
              <w:rPr>
                <w:rFonts w:hint="eastAsia"/>
              </w:rPr>
            </w:pPr>
          </w:p>
        </w:tc>
        <w:tc>
          <w:tcPr>
            <w:tcW w:w="1050" w:type="dxa"/>
            <w:tcBorders>
              <w:bottom w:val="single" w:color="auto" w:sz="4" w:space="0"/>
            </w:tcBorders>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确定定标候选人</w:t>
            </w:r>
          </w:p>
          <w:p>
            <w:pPr>
              <w:pStyle w:val="2"/>
              <w:jc w:val="both"/>
              <w:rPr>
                <w:rFonts w:hint="eastAsia"/>
                <w:lang w:val="en-US" w:eastAsia="zh-CN"/>
              </w:rPr>
            </w:pPr>
          </w:p>
        </w:tc>
        <w:tc>
          <w:tcPr>
            <w:tcW w:w="2707" w:type="dxa"/>
            <w:tcBorders>
              <w:bottom w:val="single" w:color="auto" w:sz="4" w:space="0"/>
            </w:tcBorders>
          </w:tcPr>
          <w:p>
            <w:pPr>
              <w:numPr>
                <w:ilvl w:val="0"/>
                <w:numId w:val="0"/>
              </w:numPr>
              <w:shd w:val="clear" w:color="auto" w:fill="FFFFFF"/>
              <w:ind w:firstLine="0" w:firstLineChars="0"/>
              <w:jc w:val="both"/>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评标委员会向招标人推荐合格的定标候选人（由系统生成不排序的定标候选人名单）。</w:t>
            </w:r>
          </w:p>
          <w:p>
            <w:pPr>
              <w:pStyle w:val="2"/>
              <w:jc w:val="both"/>
              <w:rPr>
                <w:rFonts w:hint="eastAsia"/>
                <w:lang w:val="en-US" w:eastAsia="zh-CN"/>
              </w:rPr>
            </w:pPr>
          </w:p>
          <w:p>
            <w:pPr>
              <w:numPr>
                <w:ilvl w:val="0"/>
                <w:numId w:val="0"/>
              </w:numPr>
              <w:shd w:val="clear" w:color="auto" w:fill="FFFFFF"/>
              <w:ind w:firstLine="0" w:firstLineChars="0"/>
              <w:jc w:val="both"/>
              <w:rPr>
                <w:rFonts w:hint="eastAsia" w:ascii="宋体" w:hAnsi="宋体" w:eastAsia="宋体" w:cs="宋体"/>
                <w:sz w:val="18"/>
                <w:szCs w:val="18"/>
              </w:rPr>
            </w:pPr>
            <w:r>
              <w:rPr>
                <w:rFonts w:hint="eastAsia" w:ascii="宋体" w:hAnsi="宋体" w:eastAsia="宋体" w:cs="宋体"/>
                <w:kern w:val="2"/>
                <w:sz w:val="18"/>
                <w:szCs w:val="18"/>
                <w:vertAlign w:val="baseline"/>
                <w:lang w:val="en-US" w:eastAsia="zh-CN" w:bidi="ar-SA"/>
              </w:rPr>
              <w:t>推荐的定标候选人不排序，由招标人另行组织定标委员会进行定标程序。</w:t>
            </w:r>
          </w:p>
        </w:tc>
        <w:tc>
          <w:tcPr>
            <w:tcW w:w="1081" w:type="dxa"/>
            <w:tcBorders>
              <w:bottom w:val="single" w:color="auto" w:sz="4" w:space="0"/>
            </w:tcBorders>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Borders>
              <w:top w:val="single" w:color="auto" w:sz="4" w:space="0"/>
              <w:left w:val="nil"/>
              <w:bottom w:val="nil"/>
              <w:right w:val="nil"/>
            </w:tcBorders>
            <w:vAlign w:val="center"/>
          </w:tcPr>
          <w:p>
            <w:pPr>
              <w:pStyle w:val="33"/>
              <w:widowControl w:val="0"/>
              <w:numPr>
                <w:ilvl w:val="0"/>
                <w:numId w:val="3"/>
              </w:numPr>
              <w:spacing w:line="474" w:lineRule="exact"/>
              <w:ind w:left="0" w:leftChars="0" w:firstLine="0" w:firstLineChars="0"/>
              <w:jc w:val="both"/>
              <w:rPr>
                <w:rFonts w:hint="eastAsia"/>
                <w:lang w:val="en-US" w:eastAsia="zh-CN"/>
              </w:rPr>
            </w:pPr>
            <w:r>
              <w:rPr>
                <w:rFonts w:hint="eastAsia"/>
                <w:lang w:eastAsia="zh-CN"/>
              </w:rPr>
              <w:t>电子辅助评标系统检测功能（建设工程监理评标办法）</w:t>
            </w:r>
            <w:r>
              <w:rPr>
                <w:rFonts w:hint="eastAsia"/>
                <w:lang w:val="en-US" w:eastAsia="zh-CN"/>
              </w:rPr>
              <w:t>具体内容如下：</w:t>
            </w:r>
          </w:p>
          <w:p>
            <w:pPr>
              <w:ind w:firstLine="0" w:firstLineChars="0"/>
              <w:jc w:val="both"/>
              <w:rPr>
                <w:rFonts w:hint="eastAsia" w:ascii="宋体" w:hAnsi="宋体" w:eastAsia="宋体" w:cs="宋体"/>
                <w:sz w:val="22"/>
                <w:szCs w:val="22"/>
                <w:vertAlign w:val="baseline"/>
              </w:rPr>
            </w:pPr>
          </w:p>
        </w:tc>
      </w:tr>
    </w:tbl>
    <w:tbl>
      <w:tblPr>
        <w:tblStyle w:val="17"/>
        <w:tblpPr w:leftFromText="180" w:rightFromText="180" w:vertAnchor="page" w:horzAnchor="page" w:tblpX="1825" w:tblpY="23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60"/>
        <w:gridCol w:w="1575"/>
        <w:gridCol w:w="1125"/>
        <w:gridCol w:w="303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1" w:type="dxa"/>
            <w:vAlign w:val="center"/>
          </w:tcPr>
          <w:p>
            <w:pPr>
              <w:ind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vertAlign w:val="baseline"/>
                <w:lang w:val="en-US" w:eastAsia="zh-CN"/>
              </w:rPr>
              <w:t>序号</w:t>
            </w:r>
          </w:p>
        </w:tc>
        <w:tc>
          <w:tcPr>
            <w:tcW w:w="1060" w:type="dxa"/>
            <w:vAlign w:val="center"/>
          </w:tcPr>
          <w:p>
            <w:pPr>
              <w:ind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vertAlign w:val="baseline"/>
                <w:lang w:val="en-US" w:eastAsia="zh-CN"/>
              </w:rPr>
              <w:t>评审流程</w:t>
            </w:r>
          </w:p>
        </w:tc>
        <w:tc>
          <w:tcPr>
            <w:tcW w:w="1575" w:type="dxa"/>
            <w:vAlign w:val="center"/>
          </w:tcPr>
          <w:p>
            <w:pPr>
              <w:ind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vertAlign w:val="baseline"/>
                <w:lang w:val="en-US" w:eastAsia="zh-CN"/>
              </w:rPr>
              <w:t>检测模块</w:t>
            </w:r>
          </w:p>
        </w:tc>
        <w:tc>
          <w:tcPr>
            <w:tcW w:w="1125" w:type="dxa"/>
            <w:vAlign w:val="center"/>
          </w:tcPr>
          <w:p>
            <w:pPr>
              <w:ind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vertAlign w:val="baseline"/>
                <w:lang w:val="en-US" w:eastAsia="zh-CN"/>
              </w:rPr>
              <w:t>检测点</w:t>
            </w:r>
          </w:p>
        </w:tc>
        <w:tc>
          <w:tcPr>
            <w:tcW w:w="3038" w:type="dxa"/>
            <w:vAlign w:val="center"/>
          </w:tcPr>
          <w:p>
            <w:pPr>
              <w:ind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vertAlign w:val="baseline"/>
                <w:lang w:val="en-US" w:eastAsia="zh-CN"/>
              </w:rPr>
              <w:t>检测指标</w:t>
            </w:r>
          </w:p>
        </w:tc>
        <w:tc>
          <w:tcPr>
            <w:tcW w:w="1081" w:type="dxa"/>
            <w:vAlign w:val="center"/>
          </w:tcPr>
          <w:p>
            <w:pPr>
              <w:ind w:firstLine="0" w:firstLineChars="0"/>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641"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p>
            <w:pPr>
              <w:pStyle w:val="2"/>
              <w:jc w:val="both"/>
              <w:rPr>
                <w:rFonts w:hint="eastAsia"/>
                <w:lang w:val="en-US" w:eastAsia="zh-CN"/>
              </w:rPr>
            </w:pPr>
          </w:p>
        </w:tc>
        <w:tc>
          <w:tcPr>
            <w:tcW w:w="1060"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资格审查</w:t>
            </w:r>
          </w:p>
          <w:p>
            <w:pPr>
              <w:pStyle w:val="2"/>
              <w:jc w:val="both"/>
              <w:rPr>
                <w:rFonts w:hint="eastAsia"/>
                <w:lang w:val="en-US" w:eastAsia="zh-CN"/>
              </w:rPr>
            </w:pPr>
          </w:p>
        </w:tc>
        <w:tc>
          <w:tcPr>
            <w:tcW w:w="1575"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资格评审</w:t>
            </w:r>
          </w:p>
          <w:p>
            <w:pPr>
              <w:pStyle w:val="2"/>
              <w:jc w:val="both"/>
              <w:rPr>
                <w:rFonts w:hint="eastAsia"/>
                <w:lang w:val="en-US" w:eastAsia="zh-CN"/>
              </w:rPr>
            </w:pPr>
          </w:p>
        </w:tc>
        <w:tc>
          <w:tcPr>
            <w:tcW w:w="1125" w:type="dxa"/>
            <w:vAlign w:val="center"/>
          </w:tcPr>
          <w:p>
            <w:pPr>
              <w:ind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投标文件</w:t>
            </w:r>
            <w:r>
              <w:rPr>
                <w:rFonts w:hint="eastAsia" w:ascii="宋体" w:hAnsi="宋体" w:eastAsia="宋体" w:cs="宋体"/>
                <w:sz w:val="18"/>
                <w:szCs w:val="18"/>
                <w:vertAlign w:val="baseline"/>
                <w:lang w:val="en-US" w:eastAsia="zh-CN"/>
              </w:rPr>
              <w:t>准确的定位</w:t>
            </w:r>
            <w:r>
              <w:rPr>
                <w:rFonts w:hint="eastAsia" w:ascii="宋体" w:hAnsi="宋体" w:eastAsia="宋体" w:cs="宋体"/>
                <w:sz w:val="18"/>
                <w:szCs w:val="18"/>
                <w:vertAlign w:val="baseline"/>
              </w:rPr>
              <w:t>解析</w:t>
            </w:r>
          </w:p>
          <w:p>
            <w:pPr>
              <w:pStyle w:val="2"/>
              <w:jc w:val="both"/>
              <w:rPr>
                <w:rFonts w:hint="eastAsia"/>
              </w:rPr>
            </w:pPr>
          </w:p>
        </w:tc>
        <w:tc>
          <w:tcPr>
            <w:tcW w:w="3038" w:type="dxa"/>
            <w:vAlign w:val="center"/>
          </w:tcPr>
          <w:p>
            <w:pPr>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1、根据评审因素对投标文件进行解析、分置。在评审相应内容时能快速准确定位到投标文件的相应部分，供评标专家评审认定。</w:t>
            </w:r>
          </w:p>
          <w:p>
            <w:pPr>
              <w:numPr>
                <w:ilvl w:val="0"/>
                <w:numId w:val="0"/>
              </w:num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2、实质性评审的内容，能将开标时的相关数据推送至评标专家评审界面，让评标专家客观的对照进行评审。</w:t>
            </w:r>
          </w:p>
        </w:tc>
        <w:tc>
          <w:tcPr>
            <w:tcW w:w="1081" w:type="dxa"/>
            <w:vAlign w:val="center"/>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此项未通过的，不得进入详细评阶段。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41" w:type="dxa"/>
            <w:vAlign w:val="center"/>
          </w:tcPr>
          <w:p>
            <w:pPr>
              <w:ind w:firstLine="0" w:firstLineChars="0"/>
              <w:jc w:val="center"/>
              <w:rPr>
                <w:rFonts w:hint="eastAsia" w:ascii="宋体" w:hAnsi="宋体" w:eastAsia="宋体" w:cs="宋体"/>
                <w:sz w:val="18"/>
                <w:szCs w:val="18"/>
                <w:vertAlign w:val="baseline"/>
                <w:lang w:val="en-US" w:eastAsia="zh-CN"/>
              </w:rPr>
            </w:pPr>
          </w:p>
        </w:tc>
        <w:tc>
          <w:tcPr>
            <w:tcW w:w="1060" w:type="dxa"/>
            <w:vAlign w:val="center"/>
          </w:tcPr>
          <w:p>
            <w:pPr>
              <w:ind w:firstLine="0" w:firstLineChars="0"/>
              <w:jc w:val="center"/>
              <w:rPr>
                <w:rFonts w:hint="eastAsia" w:ascii="宋体" w:hAnsi="宋体" w:eastAsia="宋体" w:cs="宋体"/>
                <w:sz w:val="18"/>
                <w:szCs w:val="18"/>
                <w:vertAlign w:val="baseline"/>
                <w:lang w:val="en-US" w:eastAsia="zh-CN"/>
              </w:rPr>
            </w:pPr>
          </w:p>
        </w:tc>
        <w:tc>
          <w:tcPr>
            <w:tcW w:w="1575" w:type="dxa"/>
            <w:vAlign w:val="center"/>
          </w:tcPr>
          <w:p>
            <w:pPr>
              <w:ind w:firstLine="0" w:firstLineChars="0"/>
              <w:jc w:val="center"/>
              <w:rPr>
                <w:rFonts w:hint="eastAsia" w:ascii="宋体" w:hAnsi="宋体" w:eastAsia="宋体" w:cs="宋体"/>
                <w:sz w:val="18"/>
                <w:szCs w:val="18"/>
                <w:vertAlign w:val="baseline"/>
                <w:lang w:val="en-US" w:eastAsia="zh-CN"/>
              </w:rPr>
            </w:pPr>
          </w:p>
        </w:tc>
        <w:tc>
          <w:tcPr>
            <w:tcW w:w="1125"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评审界面显示</w:t>
            </w:r>
          </w:p>
          <w:p>
            <w:pPr>
              <w:pStyle w:val="2"/>
              <w:jc w:val="both"/>
              <w:rPr>
                <w:rFonts w:hint="eastAsia"/>
                <w:lang w:val="en-US" w:eastAsia="zh-CN"/>
              </w:rPr>
            </w:pPr>
          </w:p>
        </w:tc>
        <w:tc>
          <w:tcPr>
            <w:tcW w:w="3038" w:type="dxa"/>
            <w:vAlign w:val="center"/>
          </w:tcPr>
          <w:p>
            <w:pPr>
              <w:numPr>
                <w:ilvl w:val="0"/>
                <w:numId w:val="0"/>
              </w:num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资格评审为明标，由评标委员会推荐的评标委员会主任组织评标委员会全体成员统一定性打分。系统功能需符合评标委员会每位专家能看到评审的界面。</w:t>
            </w:r>
          </w:p>
        </w:tc>
        <w:tc>
          <w:tcPr>
            <w:tcW w:w="1081" w:type="dxa"/>
            <w:vAlign w:val="center"/>
          </w:tcPr>
          <w:p>
            <w:pPr>
              <w:ind w:firstLine="0" w:firstLineChars="0"/>
              <w:jc w:val="both"/>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41" w:type="dxa"/>
            <w:vMerge w:val="restart"/>
            <w:vAlign w:val="center"/>
          </w:tcPr>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both"/>
              <w:rPr>
                <w:rFonts w:hint="eastAsia" w:ascii="宋体" w:hAnsi="宋体" w:eastAsia="宋体" w:cs="宋体"/>
                <w:sz w:val="18"/>
                <w:szCs w:val="18"/>
                <w:vertAlign w:val="baseline"/>
                <w:lang w:val="en-US" w:eastAsia="zh-CN"/>
              </w:rPr>
            </w:pPr>
          </w:p>
          <w:p>
            <w:pPr>
              <w:pStyle w:val="2"/>
              <w:jc w:val="both"/>
              <w:rPr>
                <w:rFonts w:hint="eastAsia"/>
                <w:lang w:val="en-US" w:eastAsia="zh-CN"/>
              </w:rPr>
            </w:pPr>
          </w:p>
          <w:p>
            <w:pPr>
              <w:ind w:firstLine="0" w:firstLineChars="0"/>
              <w:jc w:val="both"/>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p>
            <w:pPr>
              <w:pStyle w:val="2"/>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p>
          <w:p>
            <w:pPr>
              <w:pStyle w:val="2"/>
              <w:jc w:val="both"/>
              <w:rPr>
                <w:rFonts w:hint="eastAsia"/>
                <w:lang w:val="en-US" w:eastAsia="zh-CN"/>
              </w:rPr>
            </w:pPr>
          </w:p>
          <w:p>
            <w:pPr>
              <w:ind w:firstLine="0" w:firstLineChars="0"/>
              <w:jc w:val="both"/>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p>
            <w:pPr>
              <w:pStyle w:val="2"/>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p>
            <w:pPr>
              <w:pStyle w:val="3"/>
              <w:jc w:val="both"/>
              <w:rPr>
                <w:rFonts w:hint="eastAsia"/>
                <w:lang w:val="en-US" w:eastAsia="zh-CN"/>
              </w:rPr>
            </w:pPr>
          </w:p>
        </w:tc>
        <w:tc>
          <w:tcPr>
            <w:tcW w:w="1060" w:type="dxa"/>
            <w:vMerge w:val="restart"/>
            <w:vAlign w:val="center"/>
          </w:tcPr>
          <w:p>
            <w:pPr>
              <w:ind w:firstLine="0" w:firstLineChars="0"/>
              <w:jc w:val="center"/>
              <w:rPr>
                <w:rFonts w:hint="eastAsia"/>
                <w:sz w:val="18"/>
                <w:szCs w:val="18"/>
                <w:lang w:val="en-US" w:eastAsia="zh-CN"/>
              </w:rPr>
            </w:pPr>
          </w:p>
          <w:p>
            <w:pPr>
              <w:pStyle w:val="2"/>
              <w:jc w:val="both"/>
              <w:rPr>
                <w:rFonts w:hint="eastAsia"/>
                <w:sz w:val="18"/>
                <w:szCs w:val="18"/>
                <w:lang w:val="en-US" w:eastAsia="zh-CN"/>
              </w:rPr>
            </w:pPr>
          </w:p>
          <w:p>
            <w:pPr>
              <w:ind w:firstLine="0" w:firstLineChars="0"/>
              <w:jc w:val="both"/>
              <w:rPr>
                <w:rFonts w:hint="eastAsia"/>
                <w:sz w:val="18"/>
                <w:szCs w:val="18"/>
                <w:lang w:val="en-US" w:eastAsia="zh-CN"/>
              </w:rPr>
            </w:pPr>
          </w:p>
          <w:p>
            <w:pPr>
              <w:ind w:firstLine="0" w:firstLineChars="0"/>
              <w:jc w:val="center"/>
              <w:rPr>
                <w:rFonts w:hint="eastAsia"/>
                <w:sz w:val="18"/>
                <w:szCs w:val="18"/>
                <w:lang w:val="en-US" w:eastAsia="zh-CN"/>
              </w:rPr>
            </w:pPr>
          </w:p>
          <w:p>
            <w:pPr>
              <w:pStyle w:val="2"/>
              <w:jc w:val="both"/>
              <w:rPr>
                <w:rFonts w:hint="eastAsia"/>
                <w:lang w:val="en-US" w:eastAsia="zh-CN"/>
              </w:rPr>
            </w:pPr>
          </w:p>
          <w:p>
            <w:pPr>
              <w:ind w:firstLine="0" w:firstLineChars="0"/>
              <w:jc w:val="center"/>
              <w:rPr>
                <w:rFonts w:hint="eastAsia"/>
                <w:sz w:val="18"/>
                <w:szCs w:val="18"/>
                <w:lang w:val="en-US" w:eastAsia="zh-CN"/>
              </w:rPr>
            </w:pPr>
          </w:p>
          <w:p>
            <w:pPr>
              <w:ind w:firstLine="0" w:firstLineChars="0"/>
              <w:jc w:val="center"/>
              <w:rPr>
                <w:rFonts w:hint="eastAsia"/>
                <w:sz w:val="18"/>
                <w:szCs w:val="18"/>
                <w:lang w:val="en-US" w:eastAsia="zh-CN"/>
              </w:rPr>
            </w:pPr>
          </w:p>
          <w:p>
            <w:pPr>
              <w:ind w:firstLine="0" w:firstLineChars="0"/>
              <w:jc w:val="center"/>
              <w:rPr>
                <w:rFonts w:hint="eastAsia"/>
                <w:sz w:val="18"/>
                <w:szCs w:val="18"/>
                <w:lang w:val="en-US" w:eastAsia="zh-CN"/>
              </w:rPr>
            </w:pPr>
            <w:r>
              <w:rPr>
                <w:rFonts w:hint="eastAsia"/>
                <w:sz w:val="18"/>
                <w:szCs w:val="18"/>
                <w:lang w:val="en-US" w:eastAsia="zh-CN"/>
              </w:rPr>
              <w:t>详细评审</w:t>
            </w:r>
          </w:p>
          <w:p>
            <w:pPr>
              <w:pStyle w:val="2"/>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pStyle w:val="3"/>
              <w:jc w:val="both"/>
              <w:rPr>
                <w:rFonts w:hint="eastAsia"/>
                <w:sz w:val="18"/>
                <w:szCs w:val="18"/>
                <w:lang w:val="en-US" w:eastAsia="zh-CN"/>
              </w:rPr>
            </w:pPr>
          </w:p>
          <w:p>
            <w:pPr>
              <w:ind w:firstLine="0" w:firstLineChars="0"/>
              <w:jc w:val="both"/>
              <w:rPr>
                <w:rFonts w:hint="eastAsia" w:ascii="宋体" w:hAnsi="宋体" w:eastAsia="宋体" w:cs="宋体"/>
                <w:sz w:val="18"/>
                <w:szCs w:val="18"/>
                <w:vertAlign w:val="baseline"/>
                <w:lang w:val="en-US" w:eastAsia="zh-CN"/>
              </w:rPr>
            </w:pPr>
          </w:p>
          <w:p>
            <w:pPr>
              <w:pStyle w:val="2"/>
              <w:jc w:val="both"/>
              <w:rPr>
                <w:rFonts w:hint="eastAsia"/>
                <w:lang w:val="en-US" w:eastAsia="zh-CN"/>
              </w:rPr>
            </w:pPr>
          </w:p>
          <w:p>
            <w:pPr>
              <w:ind w:firstLine="0" w:firstLineChars="0"/>
              <w:jc w:val="center"/>
              <w:rPr>
                <w:rFonts w:hint="eastAsia" w:ascii="宋体" w:hAnsi="宋体" w:eastAsia="宋体" w:cs="宋体"/>
                <w:sz w:val="18"/>
                <w:szCs w:val="18"/>
                <w:vertAlign w:val="baseline"/>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详细评审</w:t>
            </w:r>
          </w:p>
          <w:p>
            <w:pPr>
              <w:pStyle w:val="3"/>
              <w:jc w:val="both"/>
              <w:rPr>
                <w:rFonts w:hint="eastAsia"/>
                <w:lang w:val="en-US" w:eastAsia="zh-CN"/>
              </w:rPr>
            </w:pPr>
          </w:p>
        </w:tc>
        <w:tc>
          <w:tcPr>
            <w:tcW w:w="1575" w:type="dxa"/>
            <w:vMerge w:val="restart"/>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监理大纲评审</w:t>
            </w:r>
          </w:p>
          <w:p>
            <w:pPr>
              <w:pStyle w:val="2"/>
              <w:jc w:val="both"/>
              <w:rPr>
                <w:rFonts w:hint="eastAsia"/>
                <w:lang w:val="en-US" w:eastAsia="zh-CN"/>
              </w:rPr>
            </w:pP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权重</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设定</w:t>
            </w:r>
          </w:p>
        </w:tc>
        <w:tc>
          <w:tcPr>
            <w:tcW w:w="3038" w:type="dxa"/>
            <w:vAlign w:val="top"/>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监理大纲为百分制暗评评审。权重设定为50%（固定值），系统设置应符合此规定。</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trPr>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Merge w:val="continue"/>
            <w:vAlign w:val="center"/>
          </w:tcPr>
          <w:p>
            <w:pPr>
              <w:ind w:firstLine="0" w:firstLineChars="0"/>
              <w:jc w:val="center"/>
              <w:rPr>
                <w:rFonts w:hint="eastAsia" w:ascii="宋体" w:hAnsi="宋体" w:eastAsia="宋体" w:cs="宋体"/>
                <w:sz w:val="18"/>
                <w:szCs w:val="18"/>
                <w:vertAlign w:val="baseline"/>
              </w:rPr>
            </w:pPr>
          </w:p>
        </w:tc>
        <w:tc>
          <w:tcPr>
            <w:tcW w:w="1125"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计分</w:t>
            </w:r>
          </w:p>
          <w:p>
            <w:pPr>
              <w:pStyle w:val="2"/>
              <w:jc w:val="both"/>
              <w:rPr>
                <w:rFonts w:hint="eastAsia"/>
                <w:lang w:val="en-US" w:eastAsia="zh-CN"/>
              </w:rPr>
            </w:pPr>
          </w:p>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规则</w:t>
            </w:r>
          </w:p>
          <w:p>
            <w:pPr>
              <w:pStyle w:val="2"/>
              <w:jc w:val="both"/>
              <w:rPr>
                <w:rFonts w:hint="eastAsia"/>
                <w:lang w:val="en-US" w:eastAsia="zh-CN"/>
              </w:rPr>
            </w:pPr>
          </w:p>
        </w:tc>
        <w:tc>
          <w:tcPr>
            <w:tcW w:w="3038" w:type="dxa"/>
            <w:vAlign w:val="top"/>
          </w:tcPr>
          <w:p>
            <w:pPr>
              <w:numPr>
                <w:ilvl w:val="0"/>
                <w:numId w:val="6"/>
              </w:num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应由评标委员会每位成员</w:t>
            </w:r>
            <w:r>
              <w:rPr>
                <w:rFonts w:hint="eastAsia" w:ascii="宋体" w:hAnsi="宋体" w:eastAsia="宋体" w:cs="宋体"/>
                <w:sz w:val="18"/>
                <w:szCs w:val="18"/>
                <w:lang w:eastAsia="zh-CN"/>
              </w:rPr>
              <w:t>独立评审计分</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评分汇总时，应在分项项目评分中去除一个最高分和一个最低分后再进行算术平均，</w:t>
            </w:r>
            <w:r>
              <w:rPr>
                <w:rFonts w:hint="eastAsia" w:ascii="宋体" w:hAnsi="宋体" w:eastAsia="宋体" w:cs="宋体"/>
                <w:sz w:val="18"/>
                <w:szCs w:val="18"/>
                <w:lang w:val="en-US" w:eastAsia="zh-CN"/>
              </w:rPr>
              <w:t>结果保留两位小数</w:t>
            </w:r>
            <w:r>
              <w:rPr>
                <w:rFonts w:hint="eastAsia" w:ascii="宋体" w:hAnsi="宋体" w:eastAsia="宋体" w:cs="宋体"/>
                <w:sz w:val="18"/>
                <w:szCs w:val="18"/>
                <w:lang w:eastAsia="zh-CN"/>
              </w:rPr>
              <w:t>。</w:t>
            </w:r>
          </w:p>
          <w:p>
            <w:pPr>
              <w:numPr>
                <w:ilvl w:val="0"/>
                <w:numId w:val="6"/>
              </w:numPr>
              <w:ind w:left="0" w:leftChars="0" w:firstLine="0" w:firstLineChars="0"/>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评委对各投标人同一评分内容量化打分时，如最高得分与最低得分相差20%（含20%）以上时，应做出合理的解释说明。</w:t>
            </w:r>
          </w:p>
          <w:p>
            <w:pPr>
              <w:numPr>
                <w:ilvl w:val="0"/>
                <w:numId w:val="0"/>
              </w:numPr>
              <w:ind w:left="0" w:leftChars="0"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系统设定必须符合以上要求的功能。</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Align w:val="center"/>
          </w:tcPr>
          <w:p>
            <w:pPr>
              <w:ind w:firstLine="0" w:firstLineChars="0"/>
              <w:jc w:val="center"/>
              <w:rPr>
                <w:rFonts w:hint="eastAsia" w:ascii="宋体" w:hAnsi="宋体" w:eastAsia="宋体" w:cs="宋体"/>
                <w:sz w:val="18"/>
                <w:szCs w:val="18"/>
                <w:vertAlign w:val="baseline"/>
              </w:rPr>
            </w:pP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扣分</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规则</w:t>
            </w:r>
          </w:p>
        </w:tc>
        <w:tc>
          <w:tcPr>
            <w:tcW w:w="3038" w:type="dxa"/>
            <w:vAlign w:val="top"/>
          </w:tcPr>
          <w:p>
            <w:pPr>
              <w:numPr>
                <w:ilvl w:val="0"/>
                <w:numId w:val="0"/>
              </w:numPr>
              <w:ind w:left="0" w:leftChars="0"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eastAsia="zh-CN"/>
              </w:rPr>
              <w:t>评标委员会认定投标文件出现明示的，不得分，出现暗示的，在总分（</w:t>
            </w:r>
            <w:r>
              <w:rPr>
                <w:rFonts w:hint="eastAsia" w:ascii="宋体" w:hAnsi="宋体" w:eastAsia="宋体" w:cs="宋体"/>
                <w:sz w:val="18"/>
                <w:szCs w:val="18"/>
                <w:lang w:val="en-US" w:eastAsia="zh-CN"/>
              </w:rPr>
              <w:t>技术标乘完权重后总得分</w:t>
            </w:r>
            <w:r>
              <w:rPr>
                <w:rFonts w:hint="eastAsia" w:ascii="宋体" w:hAnsi="宋体" w:eastAsia="宋体" w:cs="宋体"/>
                <w:sz w:val="18"/>
                <w:szCs w:val="18"/>
                <w:lang w:eastAsia="zh-CN"/>
              </w:rPr>
              <w:t>）中扣3分。</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企业综合实力及报价评审（企业、总监理工程师业绩评审）</w:t>
            </w: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rPr>
              <w:t>投标文件</w:t>
            </w:r>
            <w:r>
              <w:rPr>
                <w:rFonts w:hint="eastAsia" w:ascii="宋体" w:hAnsi="宋体" w:eastAsia="宋体" w:cs="宋体"/>
                <w:sz w:val="18"/>
                <w:szCs w:val="18"/>
                <w:vertAlign w:val="baseline"/>
                <w:lang w:val="en-US" w:eastAsia="zh-CN"/>
              </w:rPr>
              <w:t>准确的定位</w:t>
            </w:r>
            <w:r>
              <w:rPr>
                <w:rFonts w:hint="eastAsia" w:ascii="宋体" w:hAnsi="宋体" w:eastAsia="宋体" w:cs="宋体"/>
                <w:sz w:val="18"/>
                <w:szCs w:val="18"/>
                <w:vertAlign w:val="baseline"/>
              </w:rPr>
              <w:t>解析</w:t>
            </w:r>
          </w:p>
        </w:tc>
        <w:tc>
          <w:tcPr>
            <w:tcW w:w="3038" w:type="dxa"/>
            <w:vAlign w:val="center"/>
          </w:tcPr>
          <w:p>
            <w:pPr>
              <w:numPr>
                <w:ilvl w:val="0"/>
                <w:numId w:val="0"/>
              </w:numPr>
              <w:ind w:firstLine="0" w:firstLineChars="0"/>
              <w:jc w:val="left"/>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在评审业绩相应内容时能快速准确定位到投标文件的相应部分，供评标专家评审认定。</w:t>
            </w:r>
          </w:p>
        </w:tc>
        <w:tc>
          <w:tcPr>
            <w:tcW w:w="1081" w:type="dxa"/>
          </w:tcPr>
          <w:p>
            <w:pPr>
              <w:ind w:firstLine="0" w:firstLineChars="0"/>
              <w:jc w:val="both"/>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tcPr>
          <w:p>
            <w:pPr>
              <w:ind w:firstLine="0" w:firstLineChars="0"/>
              <w:jc w:val="both"/>
              <w:rPr>
                <w:rFonts w:hint="eastAsia"/>
                <w:lang w:val="en-US" w:eastAsia="zh-CN"/>
              </w:rPr>
            </w:pPr>
            <w:r>
              <w:rPr>
                <w:rFonts w:hint="eastAsia" w:ascii="宋体" w:hAnsi="宋体" w:eastAsia="宋体" w:cs="宋体"/>
                <w:sz w:val="18"/>
                <w:szCs w:val="18"/>
                <w:vertAlign w:val="baseline"/>
                <w:lang w:val="en-US" w:eastAsia="zh-CN"/>
              </w:rPr>
              <w:t>企业综合实力及报价评审（项目监理机构人员评审）</w:t>
            </w:r>
          </w:p>
        </w:tc>
        <w:tc>
          <w:tcPr>
            <w:tcW w:w="1125" w:type="dxa"/>
            <w:vAlign w:val="center"/>
          </w:tcPr>
          <w:p>
            <w:pPr>
              <w:ind w:firstLine="0" w:firstLineChars="0"/>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投标文件</w:t>
            </w:r>
            <w:r>
              <w:rPr>
                <w:rFonts w:hint="eastAsia" w:ascii="宋体" w:hAnsi="宋体" w:eastAsia="宋体" w:cs="宋体"/>
                <w:sz w:val="18"/>
                <w:szCs w:val="18"/>
                <w:vertAlign w:val="baseline"/>
                <w:lang w:val="en-US" w:eastAsia="zh-CN"/>
              </w:rPr>
              <w:t>准确的定位</w:t>
            </w:r>
            <w:r>
              <w:rPr>
                <w:rFonts w:hint="eastAsia" w:ascii="宋体" w:hAnsi="宋体" w:eastAsia="宋体" w:cs="宋体"/>
                <w:sz w:val="18"/>
                <w:szCs w:val="18"/>
                <w:vertAlign w:val="baseline"/>
              </w:rPr>
              <w:t>解析</w:t>
            </w:r>
          </w:p>
          <w:p>
            <w:pPr>
              <w:pStyle w:val="2"/>
              <w:jc w:val="both"/>
              <w:rPr>
                <w:rFonts w:hint="eastAsia"/>
              </w:rPr>
            </w:pPr>
          </w:p>
        </w:tc>
        <w:tc>
          <w:tcPr>
            <w:tcW w:w="3038" w:type="dxa"/>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在评审项目监理机构人员相应内容时能快速准确定位到投标文件的相应部分，同时具备不同标书同一内容横向对比的功能，供评标专家评审认定。</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tcPr>
          <w:p>
            <w:pPr>
              <w:pStyle w:val="8"/>
              <w:widowControl/>
              <w:wordWrap w:val="0"/>
              <w:spacing w:beforeAutospacing="0" w:afterAutospacing="0" w:line="270" w:lineRule="atLeast"/>
              <w:ind w:firstLine="0" w:firstLineChars="0"/>
              <w:jc w:val="center"/>
              <w:rPr>
                <w:rFonts w:hint="eastAsia"/>
              </w:rPr>
            </w:pPr>
            <w:r>
              <w:rPr>
                <w:rFonts w:hint="eastAsia" w:ascii="宋体" w:hAnsi="宋体" w:eastAsia="宋体" w:cs="宋体"/>
                <w:kern w:val="2"/>
                <w:sz w:val="18"/>
                <w:szCs w:val="18"/>
                <w:vertAlign w:val="baseline"/>
                <w:lang w:val="en-US" w:eastAsia="zh-CN" w:bidi="ar-SA"/>
              </w:rPr>
              <w:t>企业综合实力及报价评审（设备仪器）</w:t>
            </w:r>
          </w:p>
        </w:tc>
        <w:tc>
          <w:tcPr>
            <w:tcW w:w="1125" w:type="dxa"/>
            <w:vAlign w:val="center"/>
          </w:tcPr>
          <w:p>
            <w:pPr>
              <w:ind w:firstLine="0" w:firstLineChars="0"/>
              <w:jc w:val="center"/>
              <w:rPr>
                <w:rFonts w:hint="eastAsia"/>
              </w:rPr>
            </w:pPr>
            <w:r>
              <w:rPr>
                <w:rFonts w:hint="eastAsia" w:ascii="宋体" w:hAnsi="宋体" w:eastAsia="宋体" w:cs="宋体"/>
                <w:sz w:val="18"/>
                <w:szCs w:val="18"/>
                <w:vertAlign w:val="baseline"/>
              </w:rPr>
              <w:t>投标文件</w:t>
            </w:r>
            <w:r>
              <w:rPr>
                <w:rFonts w:hint="eastAsia" w:ascii="宋体" w:hAnsi="宋体" w:eastAsia="宋体" w:cs="宋体"/>
                <w:sz w:val="18"/>
                <w:szCs w:val="18"/>
                <w:vertAlign w:val="baseline"/>
                <w:lang w:val="en-US" w:eastAsia="zh-CN"/>
              </w:rPr>
              <w:t>准确的定位</w:t>
            </w:r>
            <w:r>
              <w:rPr>
                <w:rFonts w:hint="eastAsia" w:ascii="宋体" w:hAnsi="宋体" w:eastAsia="宋体" w:cs="宋体"/>
                <w:sz w:val="18"/>
                <w:szCs w:val="18"/>
                <w:vertAlign w:val="baseline"/>
              </w:rPr>
              <w:t>解析</w:t>
            </w:r>
          </w:p>
        </w:tc>
        <w:tc>
          <w:tcPr>
            <w:tcW w:w="3038" w:type="dxa"/>
            <w:vAlign w:val="center"/>
          </w:tcPr>
          <w:p>
            <w:pPr>
              <w:numPr>
                <w:ilvl w:val="0"/>
                <w:numId w:val="0"/>
              </w:numPr>
              <w:ind w:left="0" w:leftChars="0" w:firstLine="0" w:firstLineChars="0"/>
              <w:jc w:val="left"/>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在评审相应内容时能快速准确定位到投标文件的相应部分，供评标专家评审认定。</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Align w:val="center"/>
          </w:tcPr>
          <w:p>
            <w:pPr>
              <w:pStyle w:val="8"/>
              <w:widowControl/>
              <w:wordWrap w:val="0"/>
              <w:spacing w:beforeAutospacing="0" w:afterAutospacing="0" w:line="270" w:lineRule="atLeast"/>
              <w:ind w:firstLine="0" w:firstLineChars="0"/>
              <w:jc w:val="center"/>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投标报</w:t>
            </w:r>
          </w:p>
          <w:p>
            <w:pPr>
              <w:jc w:val="center"/>
              <w:rPr>
                <w:rFonts w:hint="eastAsia"/>
                <w:lang w:val="en-US" w:eastAsia="zh-CN"/>
              </w:rPr>
            </w:pPr>
          </w:p>
          <w:p>
            <w:pPr>
              <w:pStyle w:val="8"/>
              <w:widowControl/>
              <w:wordWrap w:val="0"/>
              <w:spacing w:beforeAutospacing="0" w:afterAutospacing="0" w:line="270" w:lineRule="atLeast"/>
              <w:ind w:firstLine="0" w:firstLineChars="0"/>
              <w:jc w:val="center"/>
              <w:rPr>
                <w:rFonts w:hint="eastAsia"/>
              </w:rPr>
            </w:pPr>
            <w:r>
              <w:rPr>
                <w:rFonts w:hint="eastAsia" w:ascii="宋体" w:hAnsi="宋体" w:eastAsia="宋体" w:cs="宋体"/>
                <w:kern w:val="2"/>
                <w:sz w:val="18"/>
                <w:szCs w:val="18"/>
                <w:vertAlign w:val="baseline"/>
                <w:lang w:val="en-US" w:eastAsia="zh-CN" w:bidi="ar-SA"/>
              </w:rPr>
              <w:t>价评审</w:t>
            </w:r>
          </w:p>
        </w:tc>
        <w:tc>
          <w:tcPr>
            <w:tcW w:w="1125"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计分</w:t>
            </w:r>
          </w:p>
          <w:p>
            <w:pPr>
              <w:pStyle w:val="2"/>
              <w:jc w:val="both"/>
              <w:rPr>
                <w:rFonts w:hint="eastAsia"/>
                <w:lang w:val="en-US" w:eastAsia="zh-CN"/>
              </w:rPr>
            </w:pP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规则</w:t>
            </w:r>
          </w:p>
        </w:tc>
        <w:tc>
          <w:tcPr>
            <w:tcW w:w="3038" w:type="dxa"/>
            <w:vAlign w:val="center"/>
          </w:tcPr>
          <w:p>
            <w:pPr>
              <w:numPr>
                <w:ilvl w:val="0"/>
                <w:numId w:val="0"/>
              </w:numPr>
              <w:ind w:firstLine="0" w:firstLineChars="0"/>
              <w:jc w:val="both"/>
              <w:rPr>
                <w:rFonts w:hint="eastAsia"/>
                <w:lang w:val="en-US" w:eastAsia="zh-CN"/>
              </w:rPr>
            </w:pPr>
            <w:r>
              <w:rPr>
                <w:rFonts w:hint="eastAsia" w:ascii="宋体" w:hAnsi="宋体" w:eastAsia="宋体" w:cs="宋体"/>
                <w:sz w:val="18"/>
                <w:szCs w:val="18"/>
                <w:lang w:val="en-US" w:eastAsia="zh-CN"/>
              </w:rPr>
              <w:t>1、根据监理评标办法投标报价评审规则，系统中基准价计算、偏差率计算、报价得分计算逻辑要符合监理评标规则报价计算相关规定。</w:t>
            </w:r>
          </w:p>
          <w:p>
            <w:pPr>
              <w:numPr>
                <w:ilvl w:val="0"/>
                <w:numId w:val="0"/>
              </w:num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按照《自治区有关项目监理机构人员服务费用成本基价标准》相关规定，系统要根据此文件中规定的成本费用自行计算监理人员日工资的标准值，同时根据招标文件明确的实际项目监理服务工期，计算出实际项目监理机构人员工资总费用作为基准值，同时分析各投标单位投标文件监理费用构成表中的监理人员工资费用，与基准值做比较，每一项负偏离5%，扣1分，直至扣完。系统设定必须符合以上基本功能。</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Merge w:val="restart"/>
            <w:vAlign w:val="center"/>
          </w:tcPr>
          <w:p>
            <w:pPr>
              <w:ind w:firstLine="0" w:firstLineChars="0"/>
              <w:jc w:val="center"/>
              <w:rPr>
                <w:rFonts w:hint="eastAsia"/>
                <w:lang w:val="en-US"/>
              </w:rPr>
            </w:pPr>
            <w:r>
              <w:rPr>
                <w:rFonts w:hint="eastAsia" w:ascii="宋体" w:hAnsi="宋体" w:eastAsia="宋体" w:cs="宋体"/>
                <w:sz w:val="18"/>
                <w:szCs w:val="18"/>
                <w:vertAlign w:val="baseline"/>
                <w:lang w:val="en-US" w:eastAsia="zh-CN"/>
              </w:rPr>
              <w:t>信用评价评审</w:t>
            </w: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企业信用评价分值提取</w:t>
            </w:r>
          </w:p>
        </w:tc>
        <w:tc>
          <w:tcPr>
            <w:tcW w:w="3038" w:type="dxa"/>
            <w:vAlign w:val="center"/>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highlight w:val="none"/>
              </w:rPr>
              <w:t>按照《新疆维吾尔自治区建筑市场信用评价管理办法（试行）》规定，以投标企业投标截止时自治区住房城乡建设行业信用信息管理平台公布的信用分值为准，</w:t>
            </w:r>
            <w:r>
              <w:rPr>
                <w:rFonts w:hint="eastAsia" w:ascii="宋体" w:hAnsi="宋体" w:eastAsia="宋体" w:cs="宋体"/>
                <w:color w:val="000000"/>
                <w:kern w:val="0"/>
                <w:sz w:val="18"/>
                <w:szCs w:val="18"/>
                <w:highlight w:val="none"/>
                <w:lang w:val="en-US" w:eastAsia="zh-CN"/>
              </w:rPr>
              <w:t>系统</w:t>
            </w:r>
            <w:r>
              <w:rPr>
                <w:rFonts w:hint="eastAsia" w:ascii="宋体" w:hAnsi="宋体" w:eastAsia="宋体" w:cs="宋体"/>
                <w:sz w:val="18"/>
                <w:szCs w:val="18"/>
                <w:vertAlign w:val="baseline"/>
                <w:lang w:val="en-US" w:eastAsia="zh-CN"/>
              </w:rPr>
              <w:t>能准确快速从建设云提取企业信用评价得分。</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Merge w:val="continue"/>
          </w:tcPr>
          <w:p>
            <w:pPr>
              <w:ind w:firstLine="0" w:firstLineChars="0"/>
              <w:jc w:val="both"/>
              <w:rPr>
                <w:rFonts w:hint="eastAsia" w:ascii="宋体" w:hAnsi="宋体" w:eastAsia="宋体" w:cs="宋体"/>
                <w:sz w:val="18"/>
                <w:szCs w:val="18"/>
                <w:vertAlign w:val="baseline"/>
              </w:rPr>
            </w:pP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系统计</w:t>
            </w:r>
          </w:p>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算得分</w:t>
            </w:r>
          </w:p>
        </w:tc>
        <w:tc>
          <w:tcPr>
            <w:tcW w:w="3038" w:type="dxa"/>
            <w:vAlign w:val="center"/>
          </w:tcPr>
          <w:p>
            <w:pPr>
              <w:ind w:firstLine="0" w:firstLineChars="0"/>
              <w:jc w:val="both"/>
              <w:rPr>
                <w:rFonts w:hint="eastAsia"/>
                <w:lang w:val="en-US" w:eastAsia="zh-CN"/>
              </w:rPr>
            </w:pPr>
            <w:r>
              <w:rPr>
                <w:rFonts w:hint="eastAsia" w:ascii="宋体" w:hAnsi="宋体" w:eastAsia="宋体" w:cs="宋体"/>
                <w:sz w:val="18"/>
                <w:szCs w:val="18"/>
                <w:lang w:val="en-US" w:eastAsia="zh-CN"/>
              </w:rPr>
              <w:t>总分为10分固定分值，</w:t>
            </w:r>
            <w:r>
              <w:rPr>
                <w:rFonts w:hint="eastAsia" w:ascii="宋体" w:hAnsi="宋体" w:eastAsia="宋体" w:cs="宋体"/>
                <w:sz w:val="18"/>
                <w:szCs w:val="18"/>
              </w:rPr>
              <w:t>采用分值折算法，</w:t>
            </w:r>
            <w:r>
              <w:rPr>
                <w:rFonts w:hint="eastAsia" w:ascii="宋体" w:hAnsi="宋体" w:eastAsia="宋体" w:cs="宋体"/>
                <w:sz w:val="18"/>
                <w:szCs w:val="18"/>
                <w:lang w:val="en-US" w:eastAsia="zh-CN"/>
              </w:rPr>
              <w:t>由系统计算得分，</w:t>
            </w:r>
            <w:r>
              <w:rPr>
                <w:rFonts w:hint="eastAsia" w:ascii="宋体" w:hAnsi="宋体" w:eastAsia="宋体" w:cs="宋体"/>
                <w:sz w:val="18"/>
                <w:szCs w:val="18"/>
              </w:rPr>
              <w:t>企业信用得分=信用分值÷1</w:t>
            </w:r>
            <w:r>
              <w:rPr>
                <w:rFonts w:hint="eastAsia" w:ascii="宋体" w:hAnsi="宋体" w:eastAsia="宋体" w:cs="宋体"/>
                <w:sz w:val="18"/>
                <w:szCs w:val="18"/>
                <w:lang w:val="en-US" w:eastAsia="zh-CN"/>
              </w:rPr>
              <w:t>5</w:t>
            </w:r>
            <w:r>
              <w:rPr>
                <w:rFonts w:hint="eastAsia" w:ascii="宋体" w:hAnsi="宋体" w:eastAsia="宋体" w:cs="宋体"/>
                <w:sz w:val="18"/>
                <w:szCs w:val="18"/>
              </w:rPr>
              <w:t>0×</w:t>
            </w:r>
            <w:r>
              <w:rPr>
                <w:rFonts w:hint="eastAsia" w:ascii="宋体" w:hAnsi="宋体" w:eastAsia="宋体" w:cs="宋体"/>
                <w:sz w:val="18"/>
                <w:szCs w:val="18"/>
                <w:lang w:val="en-US" w:eastAsia="zh-CN"/>
              </w:rPr>
              <w:t>10；</w:t>
            </w:r>
          </w:p>
          <w:p>
            <w:pPr>
              <w:ind w:firstLine="0" w:firstLineChars="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系统计算逻辑须符合此规定。</w:t>
            </w:r>
          </w:p>
        </w:tc>
        <w:tc>
          <w:tcPr>
            <w:tcW w:w="1081" w:type="dxa"/>
          </w:tcPr>
          <w:p>
            <w:pPr>
              <w:ind w:firstLine="0" w:firstLineChars="0"/>
              <w:jc w:val="both"/>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结果汇总</w:t>
            </w: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计算得分</w:t>
            </w:r>
          </w:p>
        </w:tc>
        <w:tc>
          <w:tcPr>
            <w:tcW w:w="3038" w:type="dxa"/>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监理大纲</w:t>
            </w:r>
            <w:r>
              <w:rPr>
                <w:rFonts w:hint="eastAsia" w:ascii="宋体" w:hAnsi="宋体" w:eastAsia="宋体" w:cs="宋体"/>
                <w:sz w:val="18"/>
                <w:szCs w:val="18"/>
                <w:lang w:val="en-US" w:eastAsia="zh-CN"/>
              </w:rPr>
              <w:t>+</w:t>
            </w:r>
            <w:r>
              <w:rPr>
                <w:rFonts w:hint="eastAsia" w:ascii="宋体" w:hAnsi="宋体" w:eastAsia="宋体" w:cs="宋体"/>
                <w:sz w:val="18"/>
                <w:szCs w:val="18"/>
              </w:rPr>
              <w:t>企业综合实力</w:t>
            </w:r>
            <w:r>
              <w:rPr>
                <w:rFonts w:hint="eastAsia" w:ascii="宋体" w:hAnsi="宋体" w:eastAsia="宋体" w:cs="宋体"/>
                <w:sz w:val="18"/>
                <w:szCs w:val="18"/>
                <w:lang w:val="en-US" w:eastAsia="zh-CN"/>
              </w:rPr>
              <w:t>及</w:t>
            </w:r>
            <w:r>
              <w:rPr>
                <w:rFonts w:hint="eastAsia" w:ascii="宋体" w:hAnsi="宋体" w:eastAsia="宋体" w:cs="宋体"/>
                <w:sz w:val="18"/>
                <w:szCs w:val="18"/>
              </w:rPr>
              <w:t>报价</w:t>
            </w:r>
            <w:r>
              <w:rPr>
                <w:rFonts w:hint="eastAsia" w:ascii="宋体" w:hAnsi="宋体" w:eastAsia="宋体" w:cs="宋体"/>
                <w:sz w:val="18"/>
                <w:szCs w:val="18"/>
                <w:lang w:val="en-US" w:eastAsia="zh-CN"/>
              </w:rPr>
              <w:t>+</w:t>
            </w:r>
            <w:r>
              <w:rPr>
                <w:rFonts w:hint="eastAsia" w:ascii="宋体" w:hAnsi="宋体" w:eastAsia="宋体" w:cs="宋体"/>
                <w:sz w:val="18"/>
                <w:szCs w:val="18"/>
              </w:rPr>
              <w:t>企业信用评价</w:t>
            </w:r>
            <w:r>
              <w:rPr>
                <w:rFonts w:hint="eastAsia" w:ascii="宋体" w:hAnsi="宋体" w:eastAsia="宋体" w:cs="宋体"/>
                <w:sz w:val="18"/>
                <w:szCs w:val="18"/>
                <w:lang w:val="en-US" w:eastAsia="zh-CN"/>
              </w:rPr>
              <w:t>=</w:t>
            </w:r>
            <w:r>
              <w:rPr>
                <w:rFonts w:hint="eastAsia" w:ascii="宋体" w:hAnsi="宋体" w:eastAsia="宋体" w:cs="宋体"/>
                <w:sz w:val="18"/>
                <w:szCs w:val="18"/>
              </w:rPr>
              <w:t>投标人的得分，得分排名前三的投标人进入</w:t>
            </w:r>
            <w:r>
              <w:rPr>
                <w:rFonts w:hint="eastAsia" w:ascii="宋体" w:hAnsi="宋体" w:eastAsia="宋体" w:cs="宋体"/>
                <w:sz w:val="18"/>
                <w:szCs w:val="18"/>
                <w:lang w:val="en-US" w:eastAsia="zh-CN"/>
              </w:rPr>
              <w:t>答辩</w:t>
            </w:r>
            <w:r>
              <w:rPr>
                <w:rFonts w:hint="eastAsia" w:ascii="宋体" w:hAnsi="宋体" w:eastAsia="宋体" w:cs="宋体"/>
                <w:sz w:val="18"/>
                <w:szCs w:val="18"/>
              </w:rPr>
              <w:t>评审</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由系统计算总得分及排名。</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Merge w:val="restart"/>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项目监理机构答辩</w:t>
            </w: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环境功能</w:t>
            </w:r>
          </w:p>
        </w:tc>
        <w:tc>
          <w:tcPr>
            <w:tcW w:w="3038" w:type="dxa"/>
            <w:vAlign w:val="center"/>
          </w:tcPr>
          <w:p>
            <w:pPr>
              <w:pStyle w:val="8"/>
              <w:widowControl/>
              <w:wordWrap w:val="0"/>
              <w:spacing w:beforeAutospacing="0" w:afterAutospacing="0" w:line="270" w:lineRule="atLeast"/>
              <w:ind w:firstLine="0" w:firstLineChars="0"/>
              <w:jc w:val="center"/>
              <w:rPr>
                <w:rFonts w:hint="eastAsia"/>
                <w:lang w:val="en-US"/>
              </w:rPr>
            </w:pPr>
            <w:r>
              <w:rPr>
                <w:rFonts w:hint="eastAsia" w:ascii="宋体" w:hAnsi="宋体" w:eastAsia="宋体" w:cs="宋体"/>
                <w:kern w:val="2"/>
                <w:sz w:val="18"/>
                <w:szCs w:val="18"/>
                <w:vertAlign w:val="baseline"/>
                <w:lang w:val="en-US" w:eastAsia="zh-CN" w:bidi="ar-SA"/>
              </w:rPr>
              <w:t>采取不见面形式答辩中，为防止投标人作弊，需对投标人所处的环境进行视频监控，需通过语音来回答评标委员会提出的问题。系统的环境监测需具备此功能，同时能识别或抓取答辩人影像资料以做分析识别。</w:t>
            </w:r>
          </w:p>
        </w:tc>
        <w:tc>
          <w:tcPr>
            <w:tcW w:w="1081" w:type="dxa"/>
            <w:vAlign w:val="center"/>
          </w:tcPr>
          <w:p>
            <w:pPr>
              <w:ind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kern w:val="2"/>
                <w:sz w:val="18"/>
                <w:szCs w:val="18"/>
                <w:vertAlign w:val="baseline"/>
                <w:lang w:val="en-US" w:eastAsia="zh-CN" w:bidi="ar-SA"/>
              </w:rPr>
              <w:t>答辩时不允许答辩人携带或查阅任何可能影响公平、公正的文件资料，应采用答辩人与评标委员会不见面的形式。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ind w:firstLine="0" w:firstLineChars="0"/>
              <w:jc w:val="both"/>
              <w:rPr>
                <w:rFonts w:hint="eastAsia" w:ascii="宋体" w:hAnsi="宋体" w:eastAsia="宋体" w:cs="宋体"/>
                <w:sz w:val="18"/>
                <w:szCs w:val="18"/>
                <w:vertAlign w:val="baseline"/>
              </w:rPr>
            </w:pPr>
          </w:p>
        </w:tc>
        <w:tc>
          <w:tcPr>
            <w:tcW w:w="1060" w:type="dxa"/>
            <w:vMerge w:val="continue"/>
          </w:tcPr>
          <w:p>
            <w:pPr>
              <w:ind w:firstLine="0" w:firstLineChars="0"/>
              <w:jc w:val="both"/>
              <w:rPr>
                <w:rFonts w:hint="eastAsia" w:ascii="宋体" w:hAnsi="宋体" w:eastAsia="宋体" w:cs="宋体"/>
                <w:sz w:val="18"/>
                <w:szCs w:val="18"/>
                <w:vertAlign w:val="baseline"/>
              </w:rPr>
            </w:pPr>
          </w:p>
        </w:tc>
        <w:tc>
          <w:tcPr>
            <w:tcW w:w="1575" w:type="dxa"/>
            <w:vMerge w:val="continue"/>
            <w:vAlign w:val="center"/>
          </w:tcPr>
          <w:p>
            <w:pPr>
              <w:ind w:firstLine="0" w:firstLineChars="0"/>
              <w:jc w:val="center"/>
              <w:rPr>
                <w:rFonts w:hint="eastAsia" w:ascii="宋体" w:hAnsi="宋体" w:eastAsia="宋体" w:cs="宋体"/>
                <w:sz w:val="18"/>
                <w:szCs w:val="18"/>
                <w:vertAlign w:val="baseline"/>
                <w:lang w:val="en-US" w:eastAsia="zh-CN"/>
              </w:rPr>
            </w:pP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分值设定</w:t>
            </w:r>
          </w:p>
        </w:tc>
        <w:tc>
          <w:tcPr>
            <w:tcW w:w="3038" w:type="dxa"/>
          </w:tcPr>
          <w:p>
            <w:pPr>
              <w:ind w:firstLine="0" w:firstLineChars="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SA"/>
              </w:rPr>
              <w:t>评标委员会根据监理大纲的主要内容提出的问题，评分分值控制在5分以内。评标委员会拟定答辩题目时，应同时明确答案及得分点。在答辩人结束答辩后公布答案及得分。</w:t>
            </w:r>
          </w:p>
        </w:tc>
        <w:tc>
          <w:tcPr>
            <w:tcW w:w="1081" w:type="dxa"/>
          </w:tcPr>
          <w:p>
            <w:pPr>
              <w:ind w:firstLine="0" w:firstLineChars="0"/>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3</w:t>
            </w:r>
          </w:p>
        </w:tc>
        <w:tc>
          <w:tcPr>
            <w:tcW w:w="1060"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评审结果</w:t>
            </w:r>
          </w:p>
        </w:tc>
        <w:tc>
          <w:tcPr>
            <w:tcW w:w="1575" w:type="dxa"/>
            <w:vAlign w:val="center"/>
          </w:tcPr>
          <w:p>
            <w:pPr>
              <w:ind w:firstLine="0" w:firstLineChars="0"/>
              <w:jc w:val="center"/>
              <w:rPr>
                <w:rFonts w:hint="eastAsia"/>
              </w:rPr>
            </w:pPr>
            <w:r>
              <w:rPr>
                <w:rFonts w:hint="eastAsia" w:ascii="宋体" w:hAnsi="宋体" w:eastAsia="宋体" w:cs="宋体"/>
                <w:sz w:val="18"/>
                <w:szCs w:val="18"/>
                <w:vertAlign w:val="baseline"/>
                <w:lang w:val="en-US" w:eastAsia="zh-CN"/>
              </w:rPr>
              <w:t>评审结果</w:t>
            </w:r>
          </w:p>
        </w:tc>
        <w:tc>
          <w:tcPr>
            <w:tcW w:w="1125" w:type="dxa"/>
            <w:vAlign w:val="center"/>
          </w:tcPr>
          <w:p>
            <w:pPr>
              <w:ind w:firstLine="0" w:firstLineChars="0"/>
              <w:jc w:val="center"/>
              <w:rPr>
                <w:rFonts w:hint="eastAsia"/>
                <w:lang w:val="en-US" w:eastAsia="zh-CN"/>
              </w:rPr>
            </w:pPr>
            <w:r>
              <w:rPr>
                <w:rFonts w:hint="eastAsia" w:ascii="宋体" w:hAnsi="宋体" w:eastAsia="宋体" w:cs="宋体"/>
                <w:sz w:val="18"/>
                <w:szCs w:val="18"/>
                <w:vertAlign w:val="baseline"/>
                <w:lang w:val="en-US" w:eastAsia="zh-CN"/>
              </w:rPr>
              <w:t>确定中标候选人</w:t>
            </w:r>
          </w:p>
        </w:tc>
        <w:tc>
          <w:tcPr>
            <w:tcW w:w="3038" w:type="dxa"/>
          </w:tcPr>
          <w:p>
            <w:pPr>
              <w:ind w:firstLine="0" w:firstLineChars="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根据总得分高低确定中标候选人，由系统生成。</w:t>
            </w:r>
          </w:p>
        </w:tc>
        <w:tc>
          <w:tcPr>
            <w:tcW w:w="1081" w:type="dxa"/>
          </w:tcPr>
          <w:p>
            <w:pPr>
              <w:ind w:firstLine="0" w:firstLineChars="0"/>
              <w:jc w:val="both"/>
              <w:rPr>
                <w:rFonts w:hint="eastAsia" w:ascii="宋体" w:hAnsi="宋体" w:eastAsia="宋体" w:cs="宋体"/>
                <w:sz w:val="18"/>
                <w:szCs w:val="18"/>
                <w:vertAlign w:val="baseline"/>
              </w:rPr>
            </w:pPr>
          </w:p>
        </w:tc>
      </w:tr>
      <w:bookmarkEnd w:id="29"/>
    </w:tbl>
    <w:p>
      <w:pPr>
        <w:pStyle w:val="5"/>
        <w:keepNext/>
        <w:keepLines/>
        <w:pageBreakBefore w:val="0"/>
        <w:widowControl w:val="0"/>
        <w:kinsoku/>
        <w:wordWrap/>
        <w:overflowPunct/>
        <w:topLinePunct w:val="0"/>
        <w:autoSpaceDE/>
        <w:autoSpaceDN/>
        <w:bidi w:val="0"/>
        <w:adjustRightInd/>
        <w:snapToGrid/>
        <w:spacing w:line="560" w:lineRule="exact"/>
        <w:textAlignment w:val="auto"/>
        <w:rPr>
          <w:b/>
          <w:lang w:val="en-US" w:eastAsia="en-US"/>
        </w:rPr>
      </w:pPr>
      <w:bookmarkStart w:id="30" w:name="bookmark55"/>
      <w:bookmarkEnd w:id="30"/>
      <w:bookmarkStart w:id="31" w:name="_Toc17121"/>
      <w:bookmarkStart w:id="32" w:name="_Toc11115"/>
      <w:r>
        <w:rPr>
          <w:rFonts w:hint="eastAsia"/>
          <w:b/>
          <w:lang w:val="zh-CN" w:eastAsia="zh-CN"/>
        </w:rPr>
        <w:t>3.2</w:t>
      </w:r>
      <w:r>
        <w:rPr>
          <w:rFonts w:hint="eastAsia"/>
          <w:b/>
          <w:lang w:val="en-US" w:eastAsia="zh-CN"/>
        </w:rPr>
        <w:t xml:space="preserve">  校验</w:t>
      </w:r>
      <w:r>
        <w:rPr>
          <w:b/>
          <w:lang w:val="en-US" w:eastAsia="en-US"/>
        </w:rPr>
        <w:t>标准</w:t>
      </w:r>
      <w:bookmarkEnd w:id="31"/>
      <w:bookmarkEnd w:id="32"/>
    </w:p>
    <w:p>
      <w:pPr>
        <w:pStyle w:val="6"/>
        <w:keepNext/>
        <w:keepLines/>
        <w:pageBreakBefore w:val="0"/>
        <w:widowControl w:val="0"/>
        <w:kinsoku/>
        <w:wordWrap/>
        <w:overflowPunct/>
        <w:topLinePunct w:val="0"/>
        <w:autoSpaceDE/>
        <w:autoSpaceDN/>
        <w:bidi w:val="0"/>
        <w:adjustRightInd/>
        <w:snapToGrid/>
        <w:spacing w:line="560" w:lineRule="exact"/>
        <w:textAlignment w:val="auto"/>
      </w:pPr>
      <w:bookmarkStart w:id="33" w:name="_Toc9913"/>
      <w:bookmarkStart w:id="34" w:name="_Toc11963"/>
      <w:r>
        <w:rPr>
          <w:lang w:val="en-US" w:eastAsia="zh-CN"/>
        </w:rPr>
        <w:t>3.2.1</w:t>
      </w:r>
      <w:r>
        <w:rPr>
          <w:rFonts w:hint="eastAsia"/>
          <w:lang w:val="en-US" w:eastAsia="zh-CN"/>
        </w:rPr>
        <w:t xml:space="preserve">   </w:t>
      </w:r>
      <w:r>
        <w:t>辅助评标系统基本功能评估标准（100分）</w:t>
      </w:r>
      <w:bookmarkEnd w:id="33"/>
      <w:bookmarkEnd w:id="34"/>
    </w:p>
    <w:p>
      <w:pPr>
        <w:pStyle w:val="3"/>
        <w:bidi w:val="0"/>
        <w:ind w:firstLine="440" w:firstLineChars="200"/>
        <w:rPr>
          <w:rFonts w:hint="eastAsia"/>
          <w:sz w:val="22"/>
          <w:szCs w:val="22"/>
          <w:lang w:val="en-US" w:eastAsia="zh-CN"/>
        </w:rPr>
      </w:pPr>
      <w:r>
        <w:rPr>
          <w:rFonts w:hint="eastAsia"/>
          <w:sz w:val="22"/>
          <w:szCs w:val="22"/>
          <w:lang w:val="en-US" w:eastAsia="zh-CN"/>
        </w:rPr>
        <w:t>详见《自治区房屋建筑和市政基础设施工程电子招标投标系统、软件基本功能评估评测表》</w:t>
      </w:r>
    </w:p>
    <w:p>
      <w:pPr>
        <w:pStyle w:val="6"/>
        <w:keepNext/>
        <w:keepLines/>
        <w:pageBreakBefore w:val="0"/>
        <w:widowControl w:val="0"/>
        <w:kinsoku/>
        <w:wordWrap/>
        <w:overflowPunct/>
        <w:topLinePunct w:val="0"/>
        <w:autoSpaceDE/>
        <w:autoSpaceDN/>
        <w:bidi w:val="0"/>
        <w:adjustRightInd/>
        <w:snapToGrid/>
        <w:spacing w:line="560" w:lineRule="exact"/>
        <w:textAlignment w:val="auto"/>
        <w:rPr>
          <w:b/>
          <w:lang w:val="en-US" w:eastAsia="zh-CN"/>
        </w:rPr>
      </w:pPr>
      <w:bookmarkStart w:id="35" w:name="_Toc12512"/>
      <w:bookmarkStart w:id="36" w:name="bookmark150"/>
      <w:bookmarkStart w:id="37" w:name="bookmark148"/>
      <w:bookmarkStart w:id="38" w:name="_Toc20244"/>
      <w:r>
        <w:rPr>
          <w:b/>
          <w:lang w:val="en-US" w:eastAsia="zh-CN"/>
        </w:rPr>
        <w:t>3.2.2</w:t>
      </w:r>
      <w:r>
        <w:rPr>
          <w:rFonts w:hint="eastAsia"/>
          <w:b/>
          <w:lang w:val="en-US" w:eastAsia="zh-CN"/>
        </w:rPr>
        <w:t xml:space="preserve">   </w:t>
      </w:r>
      <w:r>
        <w:rPr>
          <w:b/>
          <w:lang w:val="en-US" w:eastAsia="zh-CN"/>
        </w:rPr>
        <w:t>辅助评标系统技术支撑与保障评估标准（100分）</w:t>
      </w:r>
      <w:bookmarkEnd w:id="35"/>
      <w:bookmarkEnd w:id="36"/>
      <w:bookmarkEnd w:id="37"/>
      <w:bookmarkEnd w:id="38"/>
    </w:p>
    <w:p>
      <w:pPr>
        <w:pStyle w:val="3"/>
        <w:bidi w:val="0"/>
        <w:ind w:firstLine="440" w:firstLineChars="200"/>
        <w:rPr>
          <w:rFonts w:hint="eastAsia"/>
          <w:sz w:val="22"/>
          <w:szCs w:val="22"/>
          <w:lang w:val="en-US" w:eastAsia="zh-CN"/>
        </w:rPr>
      </w:pPr>
      <w:r>
        <w:rPr>
          <w:rFonts w:hint="eastAsia"/>
          <w:sz w:val="22"/>
          <w:szCs w:val="22"/>
          <w:lang w:val="en-US" w:eastAsia="zh-CN"/>
        </w:rPr>
        <w:t>详见《自治区房屋建筑和市政基础设施工程电子招标投标系统、软件技术支撑与保障评估检测表》</w:t>
      </w:r>
    </w:p>
    <w:p>
      <w:pPr>
        <w:pStyle w:val="3"/>
        <w:bidi w:val="0"/>
        <w:ind w:firstLine="440" w:firstLineChars="200"/>
        <w:rPr>
          <w:rFonts w:hint="eastAsia"/>
          <w:sz w:val="22"/>
          <w:szCs w:val="22"/>
          <w:lang w:val="en-US" w:eastAsia="zh-CN"/>
        </w:rPr>
      </w:pPr>
    </w:p>
    <w:sectPr>
      <w:headerReference r:id="rId10" w:type="first"/>
      <w:footerReference r:id="rId12" w:type="first"/>
      <w:headerReference r:id="rId9" w:type="default"/>
      <w:footerReference r:id="rId11" w:type="default"/>
      <w:pgSz w:w="11900" w:h="16840"/>
      <w:pgMar w:top="1334" w:right="1830" w:bottom="1502" w:left="1706" w:header="0" w:footer="3" w:gutter="0"/>
      <w:pgBorders>
        <w:top w:val="none" w:sz="0" w:space="0"/>
        <w:left w:val="none" w:sz="0" w:space="0"/>
        <w:bottom w:val="none" w:sz="0" w:space="0"/>
        <w:right w:val="none" w:sz="0" w:space="0"/>
      </w:pgBorders>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3360" behindDoc="1" locked="0" layoutInCell="1" allowOverlap="1">
              <wp:simplePos x="0" y="0"/>
              <wp:positionH relativeFrom="page">
                <wp:posOffset>3747770</wp:posOffset>
              </wp:positionH>
              <wp:positionV relativeFrom="page">
                <wp:posOffset>9903460</wp:posOffset>
              </wp:positionV>
              <wp:extent cx="45720" cy="68580"/>
              <wp:effectExtent l="0" t="0" r="0" b="0"/>
              <wp:wrapNone/>
              <wp:docPr id="5" name="文本框 6"/>
              <wp:cNvGraphicFramePr/>
              <a:graphic xmlns:a="http://schemas.openxmlformats.org/drawingml/2006/main">
                <a:graphicData uri="http://schemas.microsoft.com/office/word/2010/wordprocessingShape">
                  <wps:wsp>
                    <wps:cNvSpPr txBox="1"/>
                    <wps:spPr>
                      <a:xfrm>
                        <a:off x="0" y="0"/>
                        <a:ext cx="45720" cy="68580"/>
                      </a:xfrm>
                      <a:prstGeom prst="rect">
                        <a:avLst/>
                      </a:prstGeom>
                      <a:noFill/>
                      <a:ln>
                        <a:noFill/>
                      </a:ln>
                    </wps:spPr>
                    <wps:txbx>
                      <w:txbxContent>
                        <w:p>
                          <w:pPr>
                            <w:pStyle w:val="25"/>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left:295.1pt;margin-top:779.8pt;height:5.4pt;width:3.6pt;mso-position-horizontal-relative:page;mso-position-vertical-relative:page;mso-wrap-style:none;z-index:-251653120;mso-width-relative:page;mso-height-relative:page;" filled="f" stroked="f" coordsize="21600,21600" o:gfxdata="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&#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y1A92AAAAA0BAAAPAAAAAAAAAAEAIAAAACIAAABk&#10;cnMvZG93bnJldi54bWxQSwECFAAUAAAACACHTuJA8K3WrM0BAACVAwAADgAAAAAAAAABACAAAAAn&#10;AQAAZHJzL2Uyb0RvYy54bWxQSwUGAAAAAAYABgBZAQAAZ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5408" behindDoc="1" locked="0" layoutInCell="1" allowOverlap="1">
              <wp:simplePos x="0" y="0"/>
              <wp:positionH relativeFrom="page">
                <wp:posOffset>3685540</wp:posOffset>
              </wp:positionH>
              <wp:positionV relativeFrom="page">
                <wp:posOffset>9815830</wp:posOffset>
              </wp:positionV>
              <wp:extent cx="99060" cy="68580"/>
              <wp:effectExtent l="0" t="0" r="0" b="0"/>
              <wp:wrapNone/>
              <wp:docPr id="7" name="文本框 27"/>
              <wp:cNvGraphicFramePr/>
              <a:graphic xmlns:a="http://schemas.openxmlformats.org/drawingml/2006/main">
                <a:graphicData uri="http://schemas.microsoft.com/office/word/2010/wordprocessingShape">
                  <wps:wsp>
                    <wps:cNvSpPr txBox="1"/>
                    <wps:spPr>
                      <a:xfrm>
                        <a:off x="0" y="0"/>
                        <a:ext cx="99060" cy="68580"/>
                      </a:xfrm>
                      <a:prstGeom prst="rect">
                        <a:avLst/>
                      </a:prstGeom>
                      <a:noFill/>
                      <a:ln>
                        <a:noFill/>
                      </a:ln>
                    </wps:spPr>
                    <wps:txbx>
                      <w:txbxContent>
                        <w:p>
                          <w:pPr>
                            <w:pStyle w:val="39"/>
                            <w:rPr>
                              <w:sz w:val="16"/>
                              <w:szCs w:val="16"/>
                            </w:rPr>
                          </w:pPr>
                          <w:r>
                            <w:fldChar w:fldCharType="begin"/>
                          </w:r>
                          <w:r>
                            <w:instrText xml:space="preserve"> PAGE \* MERGEFORMAT </w:instrText>
                          </w:r>
                          <w:r>
                            <w:fldChar w:fldCharType="separate"/>
                          </w:r>
                          <w:r>
                            <w:rPr>
                              <w:rFonts w:ascii="Times New Roman" w:hAnsi="Times New Roman" w:eastAsia="Times New Roman" w:cs="Times New Roman"/>
                              <w:sz w:val="16"/>
                              <w:szCs w:val="16"/>
                            </w:rPr>
                            <w:t>5</w:t>
                          </w:r>
                          <w:r>
                            <w:rPr>
                              <w:rFonts w:ascii="Times New Roman" w:hAnsi="Times New Roman" w:eastAsia="Times New Roman" w:cs="Times New Roman"/>
                              <w:sz w:val="16"/>
                              <w:szCs w:val="16"/>
                            </w:rPr>
                            <w:fldChar w:fldCharType="end"/>
                          </w:r>
                        </w:p>
                      </w:txbxContent>
                    </wps:txbx>
                    <wps:bodyPr wrap="none" lIns="0" tIns="0" rIns="0" bIns="0" upright="1">
                      <a:spAutoFit/>
                    </wps:bodyPr>
                  </wps:wsp>
                </a:graphicData>
              </a:graphic>
            </wp:anchor>
          </w:drawing>
        </mc:Choice>
        <mc:Fallback>
          <w:pict>
            <v:shape id="文本框 27" o:spid="_x0000_s1026" o:spt="202" type="#_x0000_t202" style="position:absolute;left:0pt;margin-left:290.2pt;margin-top:772.9pt;height:5.4pt;width:7.8pt;mso-position-horizontal-relative:page;mso-position-vertical-relative:page;mso-wrap-style:none;z-index:-251651072;mso-width-relative:page;mso-height-relative:page;" filled="f" stroked="f" coordsize="21600,21600" o:gfxdata="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&#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tOMw1wAAAA0BAAAPAAAAAAAAAAEAIAAAACIAAABk&#10;cnMvZG93bnJldi54bWxQSwECFAAUAAAACACHTuJAFCvEB84BAACWAwAADgAAAAAAAAABACAAAAAm&#10;AQAAZHJzL2Uyb0RvYy54bWxQSwUGAAAAAAYABgBZAQAAZgUAAAAA&#10;">
              <v:fill on="f" focussize="0,0"/>
              <v:stroke on="f"/>
              <v:imagedata o:title=""/>
              <o:lock v:ext="edit" aspectratio="f"/>
              <v:textbox inset="0mm,0mm,0mm,0mm" style="mso-fit-shape-to-text:t;">
                <w:txbxContent>
                  <w:p>
                    <w:pPr>
                      <w:pStyle w:val="39"/>
                      <w:rPr>
                        <w:sz w:val="16"/>
                        <w:szCs w:val="16"/>
                      </w:rPr>
                    </w:pPr>
                    <w:r>
                      <w:fldChar w:fldCharType="begin"/>
                    </w:r>
                    <w:r>
                      <w:instrText xml:space="preserve"> PAGE \* MERGEFORMAT </w:instrText>
                    </w:r>
                    <w:r>
                      <w:fldChar w:fldCharType="separate"/>
                    </w:r>
                    <w:r>
                      <w:rPr>
                        <w:rFonts w:ascii="Times New Roman" w:hAnsi="Times New Roman" w:eastAsia="Times New Roman" w:cs="Times New Roman"/>
                        <w:sz w:val="16"/>
                        <w:szCs w:val="16"/>
                      </w:rPr>
                      <w:t>5</w:t>
                    </w:r>
                    <w:r>
                      <w:rPr>
                        <w:rFonts w:ascii="Times New Roman" w:hAnsi="Times New Roman" w:eastAsia="Times New Roman" w:cs="Times New Roman"/>
                        <w:sz w:val="16"/>
                        <w:szCs w:val="16"/>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2336" behindDoc="1" locked="0" layoutInCell="1" allowOverlap="1">
              <wp:simplePos x="0" y="0"/>
              <wp:positionH relativeFrom="page">
                <wp:posOffset>5279390</wp:posOffset>
              </wp:positionH>
              <wp:positionV relativeFrom="page">
                <wp:posOffset>549910</wp:posOffset>
              </wp:positionV>
              <wp:extent cx="1120140" cy="10668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120140" cy="106680"/>
                      </a:xfrm>
                      <a:prstGeom prst="rect">
                        <a:avLst/>
                      </a:prstGeom>
                      <a:noFill/>
                      <a:ln>
                        <a:noFill/>
                      </a:ln>
                    </wps:spPr>
                    <wps:txbx>
                      <w:txbxContent>
                        <w:p>
                          <w:pPr>
                            <w:pStyle w:val="25"/>
                            <w:rPr>
                              <w:sz w:val="18"/>
                              <w:szCs w:val="18"/>
                            </w:rPr>
                          </w:pPr>
                          <w:r>
                            <w:rPr>
                              <w:rFonts w:ascii="宋体" w:hAnsi="宋体" w:eastAsia="宋体" w:cs="宋体"/>
                              <w:sz w:val="18"/>
                              <w:szCs w:val="18"/>
                            </w:rPr>
                            <w:t>电子招投标系统与规范</w:t>
                          </w:r>
                        </w:p>
                      </w:txbxContent>
                    </wps:txbx>
                    <wps:bodyPr wrap="none" lIns="0" tIns="0" rIns="0" bIns="0" upright="1">
                      <a:spAutoFit/>
                    </wps:bodyPr>
                  </wps:wsp>
                </a:graphicData>
              </a:graphic>
            </wp:anchor>
          </w:drawing>
        </mc:Choice>
        <mc:Fallback>
          <w:pict>
            <v:shape id="文本框 3" o:spid="_x0000_s1026" o:spt="202" type="#_x0000_t202" style="position:absolute;left:0pt;margin-left:415.7pt;margin-top:43.3pt;height:8.4pt;width:88.2pt;mso-position-horizontal-relative:page;mso-position-vertical-relative:page;mso-wrap-style:none;z-index:-251654144;mso-width-relative:page;mso-height-relative:page;" filled="f" stroked="f" coordsize="21600,21600" o:gfxdata="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lqaq1QAAAAsBAAAPAAAAAAAAAAEAIAAAACIAAABkcnMv&#10;ZG93bnJldi54bWxQSwECFAAUAAAACACHTuJAj1pmMM0BAACYAwAADgAAAAAAAAABACAAAAAkAQAA&#10;ZHJzL2Uyb0RvYy54bWxQSwUGAAAAAAYABgBZAQAAYwUAAAAA&#10;">
              <v:fill on="f" focussize="0,0"/>
              <v:stroke on="f"/>
              <v:imagedata o:title=""/>
              <o:lock v:ext="edit" aspectratio="f"/>
              <v:textbox inset="0mm,0mm,0mm,0mm" style="mso-fit-shape-to-text:t;">
                <w:txbxContent>
                  <w:p>
                    <w:pPr>
                      <w:pStyle w:val="25"/>
                      <w:rPr>
                        <w:sz w:val="18"/>
                        <w:szCs w:val="18"/>
                      </w:rPr>
                    </w:pPr>
                    <w:r>
                      <w:rPr>
                        <w:rFonts w:ascii="宋体" w:hAnsi="宋体" w:eastAsia="宋体" w:cs="宋体"/>
                        <w:sz w:val="18"/>
                        <w:szCs w:val="18"/>
                      </w:rPr>
                      <w:t>电子招投标系统与规范</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1141730</wp:posOffset>
              </wp:positionH>
              <wp:positionV relativeFrom="page">
                <wp:posOffset>706120</wp:posOffset>
              </wp:positionV>
              <wp:extent cx="5280660" cy="0"/>
              <wp:effectExtent l="0" t="0" r="0" b="0"/>
              <wp:wrapNone/>
              <wp:docPr id="1" name="自选图形 36"/>
              <wp:cNvGraphicFramePr/>
              <a:graphic xmlns:a="http://schemas.openxmlformats.org/drawingml/2006/main">
                <a:graphicData uri="http://schemas.microsoft.com/office/word/2010/wordprocessingShape">
                  <wps:wsp>
                    <wps:cNvCnPr/>
                    <wps:spPr>
                      <a:xfrm>
                        <a:off x="0" y="0"/>
                        <a:ext cx="5280660" cy="0"/>
                      </a:xfrm>
                      <a:prstGeom prst="straightConnector1">
                        <a:avLst/>
                      </a:prstGeom>
                      <a:solidFill>
                        <a:srgbClr val="FFFFFF"/>
                      </a:solidFill>
                      <a:ln w="12700" cap="flat" cmpd="sng">
                        <a:solidFill>
                          <a:srgbClr val="000000"/>
                        </a:solidFill>
                        <a:prstDash val="solid"/>
                        <a:headEnd type="none" w="med" len="med"/>
                        <a:tailEnd type="none" w="med" len="med"/>
                      </a:ln>
                    </wps:spPr>
                    <wps:bodyPr/>
                  </wps:wsp>
                </a:graphicData>
              </a:graphic>
            </wp:anchor>
          </w:drawing>
        </mc:Choice>
        <mc:Fallback>
          <w:pict>
            <v:shape id="自选图形 36" o:spid="_x0000_s1026" o:spt="32" type="#_x0000_t32" style="position:absolute;left:0pt;margin-left:89.9pt;margin-top:55.6pt;height:0pt;width:415.8pt;mso-position-horizontal-relative:page;mso-position-vertical-relative:page;z-index:-251657216;mso-width-relative:page;mso-height-relative:page;" fillcolor="#FFFFFF" filled="t" stroked="t" coordsize="21600,21600" o:gfxdata="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CK3HVAAAADAEAAA8AAAAAAAAAAQAgAAAAIgAAAGRycy9kb3ducmV2&#10;LnhtbFBLAQIUABQAAAAIAIdO4kA/cgln/wEAABkEAAAOAAAAAAAAAAEAIAAAACQBAABkcnMvZTJv&#10;RG9jLnhtbFBLBQYAAAAABgAGAFkBAACVBQAAAAA=&#10;">
              <v:fill on="t" focussize="0,0"/>
              <v:stroke weight="1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4384" behindDoc="1" locked="0" layoutInCell="1" allowOverlap="1">
              <wp:simplePos x="0" y="0"/>
              <wp:positionH relativeFrom="page">
                <wp:posOffset>5240020</wp:posOffset>
              </wp:positionH>
              <wp:positionV relativeFrom="page">
                <wp:posOffset>549910</wp:posOffset>
              </wp:positionV>
              <wp:extent cx="1120140" cy="106680"/>
              <wp:effectExtent l="0" t="0" r="0" b="0"/>
              <wp:wrapNone/>
              <wp:docPr id="6" name="文本框 24"/>
              <wp:cNvGraphicFramePr/>
              <a:graphic xmlns:a="http://schemas.openxmlformats.org/drawingml/2006/main">
                <a:graphicData uri="http://schemas.microsoft.com/office/word/2010/wordprocessingShape">
                  <wps:wsp>
                    <wps:cNvSpPr txBox="1"/>
                    <wps:spPr>
                      <a:xfrm>
                        <a:off x="0" y="0"/>
                        <a:ext cx="1120140" cy="106680"/>
                      </a:xfrm>
                      <a:prstGeom prst="rect">
                        <a:avLst/>
                      </a:prstGeom>
                      <a:noFill/>
                      <a:ln>
                        <a:noFill/>
                      </a:ln>
                    </wps:spPr>
                    <wps:txbx>
                      <w:txbxContent>
                        <w:p>
                          <w:pPr>
                            <w:pStyle w:val="39"/>
                          </w:pPr>
                          <w:r>
                            <w:t>电子招投标系统与规范</w:t>
                          </w:r>
                        </w:p>
                      </w:txbxContent>
                    </wps:txbx>
                    <wps:bodyPr wrap="none" lIns="0" tIns="0" rIns="0" bIns="0" upright="1">
                      <a:spAutoFit/>
                    </wps:bodyPr>
                  </wps:wsp>
                </a:graphicData>
              </a:graphic>
            </wp:anchor>
          </w:drawing>
        </mc:Choice>
        <mc:Fallback>
          <w:pict>
            <v:shape id="文本框 24" o:spid="_x0000_s1026" o:spt="202" type="#_x0000_t202" style="position:absolute;left:0pt;margin-left:412.6pt;margin-top:43.3pt;height:8.4pt;width:88.2pt;mso-position-horizontal-relative:page;mso-position-vertical-relative:page;mso-wrap-style:none;z-index:-251652096;mso-width-relative:page;mso-height-relative:page;" filled="f" stroked="f" coordsize="21600,21600" o:gfxdata="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Tg0q9UAAAALAQAADwAAAAAAAAABACAAAAAiAAAAZHJz&#10;L2Rvd25yZXYueG1sUEsBAhQAFAAAAAgAh07iQH2+KP/OAQAAmQMAAA4AAAAAAAAAAQAgAAAAJAEA&#10;AGRycy9lMm9Eb2MueG1sUEsFBgAAAAAGAAYAWQEAAGQFAAAAAA==&#10;">
              <v:fill on="f" focussize="0,0"/>
              <v:stroke on="f"/>
              <v:imagedata o:title=""/>
              <o:lock v:ext="edit" aspectratio="f"/>
              <v:textbox inset="0mm,0mm,0mm,0mm" style="mso-fit-shape-to-text:t;">
                <w:txbxContent>
                  <w:p>
                    <w:pPr>
                      <w:pStyle w:val="39"/>
                    </w:pPr>
                    <w:r>
                      <w:t>电子招投标系统与规范</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1102360</wp:posOffset>
              </wp:positionH>
              <wp:positionV relativeFrom="page">
                <wp:posOffset>706120</wp:posOffset>
              </wp:positionV>
              <wp:extent cx="5280660" cy="0"/>
              <wp:effectExtent l="0" t="0" r="0" b="0"/>
              <wp:wrapNone/>
              <wp:docPr id="2" name="自选图形 31"/>
              <wp:cNvGraphicFramePr/>
              <a:graphic xmlns:a="http://schemas.openxmlformats.org/drawingml/2006/main">
                <a:graphicData uri="http://schemas.microsoft.com/office/word/2010/wordprocessingShape">
                  <wps:wsp>
                    <wps:cNvCnPr/>
                    <wps:spPr>
                      <a:xfrm>
                        <a:off x="0" y="0"/>
                        <a:ext cx="5280660" cy="0"/>
                      </a:xfrm>
                      <a:prstGeom prst="straightConnector1">
                        <a:avLst/>
                      </a:prstGeom>
                      <a:solidFill>
                        <a:srgbClr val="FFFFFF"/>
                      </a:solidFill>
                      <a:ln w="12700" cap="flat" cmpd="sng">
                        <a:solidFill>
                          <a:srgbClr val="000000"/>
                        </a:solidFill>
                        <a:prstDash val="solid"/>
                        <a:headEnd type="none" w="med" len="med"/>
                        <a:tailEnd type="none" w="med" len="med"/>
                      </a:ln>
                    </wps:spPr>
                    <wps:bodyPr/>
                  </wps:wsp>
                </a:graphicData>
              </a:graphic>
            </wp:anchor>
          </w:drawing>
        </mc:Choice>
        <mc:Fallback>
          <w:pict>
            <v:shape id="自选图形 31" o:spid="_x0000_s1026" o:spt="32" type="#_x0000_t32" style="position:absolute;left:0pt;margin-left:86.8pt;margin-top:55.6pt;height:0pt;width:415.8pt;mso-position-horizontal-relative:page;mso-position-vertical-relative:page;z-index:-251656192;mso-width-relative:page;mso-height-relative:page;" fillcolor="#FFFFFF" filled="t" stroked="t" coordsize="21600,21600" o:gfxdata="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XkkD1QAAAAwBAAAPAAAAAAAAAAEAIAAAACIAAABkcnMvZG93bnJl&#10;di54bWxQSwECFAAUAAAACACHTuJATkxP+wACAAAZBAAADgAAAAAAAAABACAAAAAkAQAAZHJzL2Uy&#10;b0RvYy54bWxQSwUGAAAAAAYABgBZAQAAlgUAAAAA&#10;">
              <v:fill on="t" focussize="0,0"/>
              <v:stroke weight="1pt" color="#000000"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6432" behindDoc="1" locked="0" layoutInCell="1" allowOverlap="1">
              <wp:simplePos x="0" y="0"/>
              <wp:positionH relativeFrom="page">
                <wp:posOffset>5236210</wp:posOffset>
              </wp:positionH>
              <wp:positionV relativeFrom="page">
                <wp:posOffset>549910</wp:posOffset>
              </wp:positionV>
              <wp:extent cx="1120140" cy="106680"/>
              <wp:effectExtent l="0" t="0" r="0" b="0"/>
              <wp:wrapNone/>
              <wp:docPr id="8" name="文本框 29"/>
              <wp:cNvGraphicFramePr/>
              <a:graphic xmlns:a="http://schemas.openxmlformats.org/drawingml/2006/main">
                <a:graphicData uri="http://schemas.microsoft.com/office/word/2010/wordprocessingShape">
                  <wps:wsp>
                    <wps:cNvSpPr txBox="1"/>
                    <wps:spPr>
                      <a:xfrm>
                        <a:off x="0" y="0"/>
                        <a:ext cx="1120140" cy="106680"/>
                      </a:xfrm>
                      <a:prstGeom prst="rect">
                        <a:avLst/>
                      </a:prstGeom>
                      <a:noFill/>
                      <a:ln>
                        <a:noFill/>
                      </a:ln>
                    </wps:spPr>
                    <wps:txbx>
                      <w:txbxContent>
                        <w:p>
                          <w:pPr>
                            <w:pStyle w:val="39"/>
                          </w:pPr>
                          <w:r>
                            <w:t>电子招投标系统与规范</w:t>
                          </w:r>
                        </w:p>
                      </w:txbxContent>
                    </wps:txbx>
                    <wps:bodyPr wrap="none" lIns="0" tIns="0" rIns="0" bIns="0" upright="1">
                      <a:spAutoFit/>
                    </wps:bodyPr>
                  </wps:wsp>
                </a:graphicData>
              </a:graphic>
            </wp:anchor>
          </w:drawing>
        </mc:Choice>
        <mc:Fallback>
          <w:pict>
            <v:shape id="文本框 29" o:spid="_x0000_s1026" o:spt="202" type="#_x0000_t202" style="position:absolute;left:0pt;margin-left:412.3pt;margin-top:43.3pt;height:8.4pt;width:88.2pt;mso-position-horizontal-relative:page;mso-position-vertical-relative:page;mso-wrap-style:none;z-index:-251650048;mso-width-relative:page;mso-height-relative:page;" filled="f" stroked="f" coordsize="21600,21600" o:gfxdata="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1Wm49UAAAALAQAADwAAAAAAAAABACAAAAAiAAAAZHJz&#10;L2Rvd25yZXYueG1sUEsBAhQAFAAAAAgAh07iQLkioJHOAQAAmQMAAA4AAAAAAAAAAQAgAAAAJAEA&#10;AGRycy9lMm9Eb2MueG1sUEsFBgAAAAAGAAYAWQEAAGQFAAAAAA==&#10;">
              <v:fill on="f" focussize="0,0"/>
              <v:stroke on="f"/>
              <v:imagedata o:title=""/>
              <o:lock v:ext="edit" aspectratio="f"/>
              <v:textbox inset="0mm,0mm,0mm,0mm" style="mso-fit-shape-to-text:t;">
                <w:txbxContent>
                  <w:p>
                    <w:pPr>
                      <w:pStyle w:val="39"/>
                    </w:pPr>
                    <w:r>
                      <w:t>电子招投标系统与规范</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1098550</wp:posOffset>
              </wp:positionH>
              <wp:positionV relativeFrom="page">
                <wp:posOffset>706120</wp:posOffset>
              </wp:positionV>
              <wp:extent cx="5280660" cy="0"/>
              <wp:effectExtent l="0" t="0" r="0" b="0"/>
              <wp:wrapNone/>
              <wp:docPr id="3" name="自选图形 30"/>
              <wp:cNvGraphicFramePr/>
              <a:graphic xmlns:a="http://schemas.openxmlformats.org/drawingml/2006/main">
                <a:graphicData uri="http://schemas.microsoft.com/office/word/2010/wordprocessingShape">
                  <wps:wsp>
                    <wps:cNvCnPr/>
                    <wps:spPr>
                      <a:xfrm>
                        <a:off x="0" y="0"/>
                        <a:ext cx="5280660" cy="0"/>
                      </a:xfrm>
                      <a:prstGeom prst="straightConnector1">
                        <a:avLst/>
                      </a:prstGeom>
                      <a:solidFill>
                        <a:srgbClr val="FFFFFF"/>
                      </a:solidFill>
                      <a:ln w="12700" cap="flat" cmpd="sng">
                        <a:solidFill>
                          <a:srgbClr val="000000"/>
                        </a:solidFill>
                        <a:prstDash val="solid"/>
                        <a:headEnd type="none" w="med" len="med"/>
                        <a:tailEnd type="none" w="med" len="med"/>
                      </a:ln>
                    </wps:spPr>
                    <wps:bodyPr/>
                  </wps:wsp>
                </a:graphicData>
              </a:graphic>
            </wp:anchor>
          </w:drawing>
        </mc:Choice>
        <mc:Fallback>
          <w:pict>
            <v:shape id="自选图形 30" o:spid="_x0000_s1026" o:spt="32" type="#_x0000_t32" style="position:absolute;left:0pt;margin-left:86.5pt;margin-top:55.6pt;height:0pt;width:415.8pt;mso-position-horizontal-relative:page;mso-position-vertical-relative:page;z-index:-251655168;mso-width-relative:page;mso-height-relative:page;" fillcolor="#FFFFFF" filled="t" stroked="t" coordsize="21600,21600" o:gfxdata="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2Tv7K1gAAAAwBAAAPAAAAAAAAAAEAIAAAACIAAABkcnMvZG93bnJl&#10;di54bWxQSwECFAAUAAAACACHTuJASOSQHf8BAAAZBAAADgAAAAAAAAABACAAAAAlAQAAZHJzL2Uy&#10;b0RvYy54bWxQSwUGAAAAAAYABgBZAQAAlgUAAAAA&#10;">
              <v:fill on="t" focussize="0,0"/>
              <v:stroke weight="1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06499"/>
    <w:multiLevelType w:val="singleLevel"/>
    <w:tmpl w:val="92706499"/>
    <w:lvl w:ilvl="0" w:tentative="0">
      <w:start w:val="1"/>
      <w:numFmt w:val="decimal"/>
      <w:suff w:val="nothing"/>
      <w:lvlText w:val="%1、"/>
      <w:lvlJc w:val="left"/>
    </w:lvl>
  </w:abstractNum>
  <w:abstractNum w:abstractNumId="1">
    <w:nsid w:val="1C4FA221"/>
    <w:multiLevelType w:val="singleLevel"/>
    <w:tmpl w:val="1C4FA221"/>
    <w:lvl w:ilvl="0" w:tentative="0">
      <w:start w:val="1"/>
      <w:numFmt w:val="decimal"/>
      <w:suff w:val="nothing"/>
      <w:lvlText w:val="%1、"/>
      <w:lvlJc w:val="left"/>
    </w:lvl>
  </w:abstractNum>
  <w:abstractNum w:abstractNumId="2">
    <w:nsid w:val="223E6A20"/>
    <w:multiLevelType w:val="multilevel"/>
    <w:tmpl w:val="223E6A20"/>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42"/>
        <w:szCs w:val="42"/>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8FBA32F"/>
    <w:multiLevelType w:val="singleLevel"/>
    <w:tmpl w:val="58FBA32F"/>
    <w:lvl w:ilvl="0" w:tentative="0">
      <w:start w:val="1"/>
      <w:numFmt w:val="decimal"/>
      <w:suff w:val="nothing"/>
      <w:lvlText w:val="%1、"/>
      <w:lvlJc w:val="left"/>
    </w:lvl>
  </w:abstractNum>
  <w:abstractNum w:abstractNumId="4">
    <w:nsid w:val="619162D3"/>
    <w:multiLevelType w:val="singleLevel"/>
    <w:tmpl w:val="619162D3"/>
    <w:lvl w:ilvl="0" w:tentative="0">
      <w:start w:val="1"/>
      <w:numFmt w:val="chineseCounting"/>
      <w:suff w:val="nothing"/>
      <w:lvlText w:val="（%1）"/>
      <w:lvlJc w:val="left"/>
      <w:rPr>
        <w:rFonts w:hint="eastAsia"/>
      </w:rPr>
    </w:lvl>
  </w:abstractNum>
  <w:abstractNum w:abstractNumId="5">
    <w:nsid w:val="7E9A3A9A"/>
    <w:multiLevelType w:val="multilevel"/>
    <w:tmpl w:val="7E9A3A9A"/>
    <w:lvl w:ilvl="0" w:tentative="0">
      <w:start w:val="1"/>
      <w:numFmt w:val="decimal"/>
      <w:lvlText w:val="%1."/>
      <w:lvlJc w:val="left"/>
      <w:rPr>
        <w:rFonts w:ascii="Times New Roman" w:hAnsi="Times New Roman" w:eastAsia="Times New Roman" w:cs="Times New Roman"/>
        <w:b w:val="0"/>
        <w:bCs w:val="0"/>
        <w:i w:val="0"/>
        <w:iCs w:val="0"/>
        <w:smallCaps w:val="0"/>
        <w:strike w:val="0"/>
        <w:color w:val="343649"/>
        <w:spacing w:val="0"/>
        <w:w w:val="100"/>
        <w:position w:val="0"/>
        <w:sz w:val="20"/>
        <w:szCs w:val="20"/>
        <w:u w:val="none"/>
        <w:shd w:val="clear" w:color="auto" w:fill="auto"/>
        <w:lang w:val="en-US" w:eastAsia="en-US" w:bidi="en-US"/>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tentative="0">
      <w:start w:val="1"/>
      <w:numFmt w:val="decimal"/>
      <w:lvlText w:val="%1.%2.%3."/>
      <w:lvlJc w:val="left"/>
      <w:rPr>
        <w:rFonts w:ascii="Times New Roman" w:hAnsi="Times New Roman" w:eastAsia="Times New Roman" w:cs="Times New Roman"/>
        <w:b w:val="0"/>
        <w:bCs w:val="0"/>
        <w:i w:val="0"/>
        <w:iCs w:val="0"/>
        <w:smallCaps w:val="0"/>
        <w:strike w:val="0"/>
        <w:color w:val="343649"/>
        <w:spacing w:val="0"/>
        <w:w w:val="100"/>
        <w:position w:val="0"/>
        <w:sz w:val="20"/>
        <w:szCs w:val="20"/>
        <w:u w:val="none"/>
        <w:shd w:val="clear" w:color="auto" w:fill="auto"/>
        <w:lang w:val="en-US" w:eastAsia="en-US" w:bidi="en-US"/>
      </w:rPr>
    </w:lvl>
    <w:lvl w:ilvl="3" w:tentative="0">
      <w:start w:val="2"/>
      <w:numFmt w:val="decimal"/>
      <w:lvlText w:val="%1.%2.%3.%4"/>
      <w:lvlJc w:val="left"/>
      <w:rPr>
        <w:rFonts w:ascii="Times New Roman" w:hAnsi="Times New Roman" w:eastAsia="Times New Roman" w:cs="Times New Roman"/>
        <w:b w:val="0"/>
        <w:bCs w:val="0"/>
        <w:i w:val="0"/>
        <w:iCs w:val="0"/>
        <w:smallCaps w:val="0"/>
        <w:strike w:val="0"/>
        <w:color w:val="343649"/>
        <w:spacing w:val="0"/>
        <w:w w:val="100"/>
        <w:position w:val="0"/>
        <w:sz w:val="20"/>
        <w:szCs w:val="20"/>
        <w:u w:val="none"/>
        <w:shd w:val="clear" w:color="auto" w:fill="auto"/>
        <w:lang w:val="en-US" w:eastAsia="en-US" w:bidi="en-US"/>
      </w:rPr>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81"/>
  <w:displayHorizont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TMwZTVmYWQ0YzBlYzk0MjFmMmQxYjcyN2ViMDUifQ=="/>
  </w:docVars>
  <w:rsids>
    <w:rsidRoot w:val="00A15A26"/>
    <w:rsid w:val="001B03D9"/>
    <w:rsid w:val="00522609"/>
    <w:rsid w:val="00564451"/>
    <w:rsid w:val="00A15A26"/>
    <w:rsid w:val="00A51A26"/>
    <w:rsid w:val="00BC4EE4"/>
    <w:rsid w:val="00D250FB"/>
    <w:rsid w:val="00E40880"/>
    <w:rsid w:val="064029FC"/>
    <w:rsid w:val="0EEA1757"/>
    <w:rsid w:val="1D7B5A77"/>
    <w:rsid w:val="2B4F5B64"/>
    <w:rsid w:val="2E9C5007"/>
    <w:rsid w:val="2F4C4E2E"/>
    <w:rsid w:val="33CF6150"/>
    <w:rsid w:val="358323E2"/>
    <w:rsid w:val="3AFD61EB"/>
    <w:rsid w:val="3B32722C"/>
    <w:rsid w:val="404B72D3"/>
    <w:rsid w:val="46377F79"/>
    <w:rsid w:val="47915CAD"/>
    <w:rsid w:val="49BB7CE5"/>
    <w:rsid w:val="4BD04BDA"/>
    <w:rsid w:val="5FEB599C"/>
    <w:rsid w:val="62314BC5"/>
    <w:rsid w:val="630C0E11"/>
    <w:rsid w:val="69754C7D"/>
    <w:rsid w:val="6A9510C7"/>
    <w:rsid w:val="714A0EE3"/>
    <w:rsid w:val="7A3A2BDB"/>
    <w:rsid w:val="7A9B0DA6"/>
    <w:rsid w:val="7B227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szCs w:val="24"/>
    </w:rPr>
  </w:style>
  <w:style w:type="paragraph" w:styleId="3">
    <w:name w:val="Body Text First Indent"/>
    <w:basedOn w:val="2"/>
    <w:qFormat/>
    <w:uiPriority w:val="0"/>
    <w:pPr>
      <w:spacing w:after="120"/>
      <w:ind w:firstLine="420" w:firstLineChars="100"/>
    </w:pPr>
    <w:rPr>
      <w:sz w:val="30"/>
    </w:rPr>
  </w:style>
  <w:style w:type="paragraph" w:styleId="7">
    <w:name w:val="Body Text Indent"/>
    <w:basedOn w:val="1"/>
    <w:next w:val="8"/>
    <w:qFormat/>
    <w:uiPriority w:val="0"/>
    <w:pPr>
      <w:spacing w:before="240" w:line="360" w:lineRule="auto"/>
      <w:ind w:firstLine="552" w:firstLineChars="263"/>
    </w:pPr>
    <w:rPr>
      <w:rFonts w:ascii="宋体" w:hAnsi="宋体"/>
      <w:szCs w:val="20"/>
    </w:rPr>
  </w:style>
  <w:style w:type="paragraph" w:styleId="8">
    <w:name w:val="Normal (Web)"/>
    <w:basedOn w:val="1"/>
    <w:next w:val="1"/>
    <w:qFormat/>
    <w:uiPriority w:val="0"/>
    <w:rPr>
      <w:sz w:val="24"/>
    </w:rPr>
  </w:style>
  <w:style w:type="paragraph" w:styleId="9">
    <w:name w:val="toc 3"/>
    <w:basedOn w:val="1"/>
    <w:next w:val="1"/>
    <w:unhideWhenUsed/>
    <w:qFormat/>
    <w:uiPriority w:val="39"/>
    <w:pPr>
      <w:ind w:left="840" w:leftChars="400"/>
    </w:pPr>
  </w:style>
  <w:style w:type="paragraph" w:styleId="10">
    <w:name w:val="footer"/>
    <w:basedOn w:val="1"/>
    <w:link w:val="47"/>
    <w:semiHidden/>
    <w:unhideWhenUsed/>
    <w:qFormat/>
    <w:uiPriority w:val="99"/>
    <w:pPr>
      <w:tabs>
        <w:tab w:val="center" w:pos="4153"/>
        <w:tab w:val="right" w:pos="8306"/>
      </w:tabs>
      <w:snapToGrid w:val="0"/>
    </w:pPr>
    <w:rPr>
      <w:sz w:val="18"/>
      <w:szCs w:val="18"/>
    </w:rPr>
  </w:style>
  <w:style w:type="paragraph" w:styleId="11">
    <w:name w:val="header"/>
    <w:basedOn w:val="1"/>
    <w:link w:val="4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4"/>
    <w:basedOn w:val="1"/>
    <w:next w:val="1"/>
    <w:unhideWhenUsed/>
    <w:qFormat/>
    <w:uiPriority w:val="39"/>
    <w:pPr>
      <w:ind w:left="1260" w:leftChars="600"/>
    </w:pPr>
  </w:style>
  <w:style w:type="paragraph" w:styleId="14">
    <w:name w:val="toc 2"/>
    <w:basedOn w:val="1"/>
    <w:next w:val="1"/>
    <w:unhideWhenUsed/>
    <w:qFormat/>
    <w:uiPriority w:val="39"/>
    <w:pPr>
      <w:ind w:left="420" w:leftChars="200"/>
    </w:pPr>
  </w:style>
  <w:style w:type="paragraph" w:styleId="15">
    <w:name w:val="Body Text First Indent 2"/>
    <w:basedOn w:val="7"/>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Body text|5_"/>
    <w:basedOn w:val="18"/>
    <w:link w:val="21"/>
    <w:qFormat/>
    <w:uiPriority w:val="0"/>
    <w:rPr>
      <w:rFonts w:ascii="宋体" w:hAnsi="宋体" w:eastAsia="宋体" w:cs="宋体"/>
      <w:sz w:val="42"/>
      <w:szCs w:val="42"/>
      <w:u w:val="none"/>
      <w:shd w:val="clear" w:color="auto" w:fill="auto"/>
      <w:lang w:val="zh-TW" w:eastAsia="zh-TW" w:bidi="zh-TW"/>
    </w:rPr>
  </w:style>
  <w:style w:type="paragraph" w:customStyle="1" w:styleId="21">
    <w:name w:val="Body text|5"/>
    <w:basedOn w:val="1"/>
    <w:link w:val="20"/>
    <w:qFormat/>
    <w:uiPriority w:val="0"/>
    <w:pPr>
      <w:spacing w:before="3900" w:line="600" w:lineRule="exact"/>
      <w:jc w:val="center"/>
    </w:pPr>
    <w:rPr>
      <w:rFonts w:ascii="宋体" w:hAnsi="宋体" w:eastAsia="宋体" w:cs="宋体"/>
      <w:sz w:val="42"/>
      <w:szCs w:val="42"/>
      <w:lang w:val="zh-TW" w:eastAsia="zh-TW" w:bidi="zh-TW"/>
    </w:rPr>
  </w:style>
  <w:style w:type="character" w:customStyle="1" w:styleId="22">
    <w:name w:val="Body text|4_"/>
    <w:basedOn w:val="18"/>
    <w:link w:val="23"/>
    <w:qFormat/>
    <w:uiPriority w:val="0"/>
    <w:rPr>
      <w:rFonts w:ascii="宋体" w:hAnsi="宋体" w:eastAsia="宋体" w:cs="宋体"/>
      <w:sz w:val="26"/>
      <w:szCs w:val="26"/>
      <w:u w:val="none"/>
      <w:shd w:val="clear" w:color="auto" w:fill="auto"/>
      <w:lang w:val="zh-TW" w:eastAsia="zh-TW" w:bidi="zh-TW"/>
    </w:rPr>
  </w:style>
  <w:style w:type="paragraph" w:customStyle="1" w:styleId="23">
    <w:name w:val="Body text|4"/>
    <w:basedOn w:val="1"/>
    <w:link w:val="22"/>
    <w:qFormat/>
    <w:uiPriority w:val="0"/>
    <w:pPr>
      <w:spacing w:after="180"/>
      <w:jc w:val="center"/>
    </w:pPr>
    <w:rPr>
      <w:rFonts w:ascii="宋体" w:hAnsi="宋体" w:eastAsia="宋体" w:cs="宋体"/>
      <w:sz w:val="26"/>
      <w:szCs w:val="26"/>
      <w:lang w:val="zh-TW" w:eastAsia="zh-TW" w:bidi="zh-TW"/>
    </w:rPr>
  </w:style>
  <w:style w:type="character" w:customStyle="1" w:styleId="24">
    <w:name w:val="Header or footer|2_"/>
    <w:basedOn w:val="18"/>
    <w:link w:val="25"/>
    <w:qFormat/>
    <w:uiPriority w:val="0"/>
    <w:rPr>
      <w:sz w:val="20"/>
      <w:szCs w:val="20"/>
      <w:u w:val="none"/>
      <w:shd w:val="clear" w:color="auto" w:fill="auto"/>
      <w:lang w:val="zh-TW" w:eastAsia="zh-TW" w:bidi="zh-TW"/>
    </w:rPr>
  </w:style>
  <w:style w:type="paragraph" w:customStyle="1" w:styleId="25">
    <w:name w:val="Header or footer|2"/>
    <w:basedOn w:val="1"/>
    <w:link w:val="24"/>
    <w:qFormat/>
    <w:uiPriority w:val="0"/>
    <w:rPr>
      <w:sz w:val="20"/>
      <w:szCs w:val="20"/>
      <w:lang w:val="zh-TW" w:eastAsia="zh-TW" w:bidi="zh-TW"/>
    </w:rPr>
  </w:style>
  <w:style w:type="character" w:customStyle="1" w:styleId="26">
    <w:name w:val="Table of contents|1_"/>
    <w:basedOn w:val="18"/>
    <w:link w:val="27"/>
    <w:qFormat/>
    <w:uiPriority w:val="0"/>
    <w:rPr>
      <w:color w:val="343649"/>
      <w:sz w:val="20"/>
      <w:szCs w:val="20"/>
      <w:u w:val="none"/>
      <w:shd w:val="clear" w:color="auto" w:fill="auto"/>
      <w:lang w:val="zh-TW" w:eastAsia="zh-TW" w:bidi="zh-TW"/>
    </w:rPr>
  </w:style>
  <w:style w:type="paragraph" w:customStyle="1" w:styleId="27">
    <w:name w:val="Table of contents|1"/>
    <w:basedOn w:val="1"/>
    <w:link w:val="26"/>
    <w:qFormat/>
    <w:uiPriority w:val="0"/>
    <w:pPr>
      <w:spacing w:after="40"/>
      <w:ind w:firstLine="820"/>
    </w:pPr>
    <w:rPr>
      <w:color w:val="343649"/>
      <w:sz w:val="20"/>
      <w:szCs w:val="20"/>
      <w:lang w:val="zh-TW" w:eastAsia="zh-TW" w:bidi="zh-TW"/>
    </w:rPr>
  </w:style>
  <w:style w:type="character" w:customStyle="1" w:styleId="28">
    <w:name w:val="Body text|6_"/>
    <w:basedOn w:val="18"/>
    <w:link w:val="29"/>
    <w:qFormat/>
    <w:uiPriority w:val="0"/>
    <w:rPr>
      <w:rFonts w:ascii="宋体" w:hAnsi="宋体" w:eastAsia="宋体" w:cs="宋体"/>
      <w:i/>
      <w:iCs/>
      <w:sz w:val="8"/>
      <w:szCs w:val="8"/>
      <w:u w:val="none"/>
      <w:shd w:val="clear" w:color="auto" w:fill="auto"/>
    </w:rPr>
  </w:style>
  <w:style w:type="paragraph" w:customStyle="1" w:styleId="29">
    <w:name w:val="Body text|6"/>
    <w:basedOn w:val="1"/>
    <w:link w:val="28"/>
    <w:qFormat/>
    <w:uiPriority w:val="0"/>
    <w:rPr>
      <w:rFonts w:ascii="宋体" w:hAnsi="宋体" w:eastAsia="宋体" w:cs="宋体"/>
      <w:i/>
      <w:iCs/>
      <w:sz w:val="8"/>
      <w:szCs w:val="8"/>
    </w:rPr>
  </w:style>
  <w:style w:type="character" w:customStyle="1" w:styleId="30">
    <w:name w:val="Body text|3_"/>
    <w:basedOn w:val="18"/>
    <w:link w:val="31"/>
    <w:qFormat/>
    <w:uiPriority w:val="0"/>
    <w:rPr>
      <w:color w:val="270A34"/>
      <w:sz w:val="20"/>
      <w:szCs w:val="20"/>
      <w:u w:val="none"/>
      <w:shd w:val="clear" w:color="auto" w:fill="auto"/>
    </w:rPr>
  </w:style>
  <w:style w:type="paragraph" w:customStyle="1" w:styleId="31">
    <w:name w:val="Body text|3"/>
    <w:basedOn w:val="1"/>
    <w:link w:val="30"/>
    <w:qFormat/>
    <w:uiPriority w:val="0"/>
    <w:pPr>
      <w:spacing w:after="110" w:line="462" w:lineRule="exact"/>
      <w:ind w:firstLine="420"/>
    </w:pPr>
    <w:rPr>
      <w:color w:val="270A34"/>
      <w:sz w:val="20"/>
      <w:szCs w:val="20"/>
    </w:rPr>
  </w:style>
  <w:style w:type="character" w:customStyle="1" w:styleId="32">
    <w:name w:val="Body text|1_"/>
    <w:basedOn w:val="18"/>
    <w:link w:val="33"/>
    <w:qFormat/>
    <w:uiPriority w:val="0"/>
    <w:rPr>
      <w:rFonts w:ascii="宋体" w:hAnsi="宋体" w:eastAsia="宋体" w:cs="宋体"/>
      <w:sz w:val="22"/>
      <w:szCs w:val="22"/>
      <w:u w:val="none"/>
      <w:shd w:val="clear" w:color="auto" w:fill="auto"/>
      <w:lang w:val="zh-TW" w:eastAsia="zh-TW" w:bidi="zh-TW"/>
    </w:rPr>
  </w:style>
  <w:style w:type="paragraph" w:customStyle="1" w:styleId="33">
    <w:name w:val="Body text|1"/>
    <w:basedOn w:val="1"/>
    <w:link w:val="32"/>
    <w:qFormat/>
    <w:uiPriority w:val="0"/>
    <w:pPr>
      <w:spacing w:line="432" w:lineRule="auto"/>
      <w:ind w:firstLine="400"/>
    </w:pPr>
    <w:rPr>
      <w:rFonts w:ascii="宋体" w:hAnsi="宋体" w:eastAsia="宋体" w:cs="宋体"/>
      <w:sz w:val="22"/>
      <w:szCs w:val="22"/>
      <w:lang w:val="zh-TW" w:eastAsia="zh-TW" w:bidi="zh-TW"/>
    </w:rPr>
  </w:style>
  <w:style w:type="character" w:customStyle="1" w:styleId="34">
    <w:name w:val="Heading #1|1_"/>
    <w:basedOn w:val="18"/>
    <w:link w:val="35"/>
    <w:qFormat/>
    <w:uiPriority w:val="0"/>
    <w:rPr>
      <w:rFonts w:ascii="宋体" w:hAnsi="宋体" w:eastAsia="宋体" w:cs="宋体"/>
      <w:sz w:val="42"/>
      <w:szCs w:val="42"/>
      <w:u w:val="none"/>
      <w:shd w:val="clear" w:color="auto" w:fill="auto"/>
      <w:lang w:val="zh-TW" w:eastAsia="zh-TW" w:bidi="zh-TW"/>
    </w:rPr>
  </w:style>
  <w:style w:type="paragraph" w:customStyle="1" w:styleId="35">
    <w:name w:val="Heading #1|1"/>
    <w:basedOn w:val="1"/>
    <w:link w:val="34"/>
    <w:qFormat/>
    <w:uiPriority w:val="0"/>
    <w:pPr>
      <w:spacing w:after="450"/>
      <w:outlineLvl w:val="0"/>
    </w:pPr>
    <w:rPr>
      <w:rFonts w:ascii="宋体" w:hAnsi="宋体" w:eastAsia="宋体" w:cs="宋体"/>
      <w:sz w:val="42"/>
      <w:szCs w:val="42"/>
      <w:lang w:val="zh-TW" w:eastAsia="zh-TW" w:bidi="zh-TW"/>
    </w:rPr>
  </w:style>
  <w:style w:type="character" w:customStyle="1" w:styleId="36">
    <w:name w:val="Body text|2_"/>
    <w:basedOn w:val="18"/>
    <w:link w:val="37"/>
    <w:qFormat/>
    <w:uiPriority w:val="0"/>
    <w:rPr>
      <w:rFonts w:ascii="宋体" w:hAnsi="宋体" w:eastAsia="宋体" w:cs="宋体"/>
      <w:sz w:val="30"/>
      <w:szCs w:val="30"/>
      <w:u w:val="none"/>
      <w:shd w:val="clear" w:color="auto" w:fill="auto"/>
      <w:lang w:val="zh-TW" w:eastAsia="zh-TW" w:bidi="zh-TW"/>
    </w:rPr>
  </w:style>
  <w:style w:type="paragraph" w:customStyle="1" w:styleId="37">
    <w:name w:val="Body text|2"/>
    <w:basedOn w:val="1"/>
    <w:link w:val="36"/>
    <w:qFormat/>
    <w:uiPriority w:val="0"/>
    <w:pPr>
      <w:spacing w:after="280"/>
    </w:pPr>
    <w:rPr>
      <w:rFonts w:ascii="宋体" w:hAnsi="宋体" w:eastAsia="宋体" w:cs="宋体"/>
      <w:sz w:val="30"/>
      <w:szCs w:val="30"/>
      <w:lang w:val="zh-TW" w:eastAsia="zh-TW" w:bidi="zh-TW"/>
    </w:rPr>
  </w:style>
  <w:style w:type="character" w:customStyle="1" w:styleId="38">
    <w:name w:val="Header or footer|1_"/>
    <w:basedOn w:val="18"/>
    <w:link w:val="39"/>
    <w:qFormat/>
    <w:uiPriority w:val="0"/>
    <w:rPr>
      <w:rFonts w:ascii="宋体" w:hAnsi="宋体" w:eastAsia="宋体" w:cs="宋体"/>
      <w:sz w:val="18"/>
      <w:szCs w:val="18"/>
      <w:u w:val="none"/>
      <w:shd w:val="clear" w:color="auto" w:fill="auto"/>
      <w:lang w:val="zh-TW" w:eastAsia="zh-TW" w:bidi="zh-TW"/>
    </w:rPr>
  </w:style>
  <w:style w:type="paragraph" w:customStyle="1" w:styleId="39">
    <w:name w:val="Header or footer|1"/>
    <w:basedOn w:val="1"/>
    <w:link w:val="38"/>
    <w:qFormat/>
    <w:uiPriority w:val="0"/>
    <w:rPr>
      <w:rFonts w:ascii="宋体" w:hAnsi="宋体" w:eastAsia="宋体" w:cs="宋体"/>
      <w:sz w:val="18"/>
      <w:szCs w:val="18"/>
      <w:lang w:val="zh-TW" w:eastAsia="zh-TW" w:bidi="zh-TW"/>
    </w:rPr>
  </w:style>
  <w:style w:type="character" w:customStyle="1" w:styleId="40">
    <w:name w:val="Heading #2|1_"/>
    <w:basedOn w:val="18"/>
    <w:link w:val="41"/>
    <w:qFormat/>
    <w:uiPriority w:val="0"/>
    <w:rPr>
      <w:b/>
      <w:bCs/>
      <w:sz w:val="32"/>
      <w:szCs w:val="32"/>
      <w:u w:val="none"/>
      <w:shd w:val="clear" w:color="auto" w:fill="auto"/>
      <w:lang w:val="zh-TW" w:eastAsia="zh-TW" w:bidi="zh-TW"/>
    </w:rPr>
  </w:style>
  <w:style w:type="paragraph" w:customStyle="1" w:styleId="41">
    <w:name w:val="Heading #2|1"/>
    <w:basedOn w:val="1"/>
    <w:link w:val="40"/>
    <w:qFormat/>
    <w:uiPriority w:val="0"/>
    <w:pPr>
      <w:spacing w:after="520"/>
      <w:ind w:firstLine="480"/>
      <w:outlineLvl w:val="1"/>
    </w:pPr>
    <w:rPr>
      <w:b/>
      <w:bCs/>
      <w:sz w:val="32"/>
      <w:szCs w:val="32"/>
      <w:lang w:val="zh-TW" w:eastAsia="zh-TW" w:bidi="zh-TW"/>
    </w:rPr>
  </w:style>
  <w:style w:type="character" w:customStyle="1" w:styleId="42">
    <w:name w:val="Heading #3|1_"/>
    <w:basedOn w:val="18"/>
    <w:link w:val="43"/>
    <w:qFormat/>
    <w:uiPriority w:val="0"/>
    <w:rPr>
      <w:rFonts w:ascii="宋体" w:hAnsi="宋体" w:eastAsia="宋体" w:cs="宋体"/>
      <w:sz w:val="26"/>
      <w:szCs w:val="26"/>
      <w:u w:val="none"/>
      <w:shd w:val="clear" w:color="auto" w:fill="auto"/>
      <w:lang w:val="zh-TW" w:eastAsia="zh-TW" w:bidi="zh-TW"/>
    </w:rPr>
  </w:style>
  <w:style w:type="paragraph" w:customStyle="1" w:styleId="43">
    <w:name w:val="Heading #3|1"/>
    <w:basedOn w:val="1"/>
    <w:link w:val="42"/>
    <w:qFormat/>
    <w:uiPriority w:val="0"/>
    <w:pPr>
      <w:spacing w:after="520"/>
      <w:outlineLvl w:val="2"/>
    </w:pPr>
    <w:rPr>
      <w:rFonts w:ascii="宋体" w:hAnsi="宋体" w:eastAsia="宋体" w:cs="宋体"/>
      <w:sz w:val="26"/>
      <w:szCs w:val="26"/>
      <w:lang w:val="zh-TW" w:eastAsia="zh-TW" w:bidi="zh-TW"/>
    </w:rPr>
  </w:style>
  <w:style w:type="character" w:customStyle="1" w:styleId="44">
    <w:name w:val="Heading #4|1_"/>
    <w:basedOn w:val="18"/>
    <w:link w:val="45"/>
    <w:qFormat/>
    <w:uiPriority w:val="0"/>
    <w:rPr>
      <w:rFonts w:ascii="宋体" w:hAnsi="宋体" w:eastAsia="宋体" w:cs="宋体"/>
      <w:sz w:val="26"/>
      <w:szCs w:val="26"/>
      <w:u w:val="none"/>
      <w:shd w:val="clear" w:color="auto" w:fill="auto"/>
      <w:lang w:val="zh-TW" w:eastAsia="zh-TW" w:bidi="zh-TW"/>
    </w:rPr>
  </w:style>
  <w:style w:type="paragraph" w:customStyle="1" w:styleId="45">
    <w:name w:val="Heading #4|1"/>
    <w:basedOn w:val="1"/>
    <w:link w:val="44"/>
    <w:qFormat/>
    <w:uiPriority w:val="0"/>
    <w:pPr>
      <w:spacing w:after="540"/>
      <w:outlineLvl w:val="3"/>
    </w:pPr>
    <w:rPr>
      <w:rFonts w:ascii="宋体" w:hAnsi="宋体" w:eastAsia="宋体" w:cs="宋体"/>
      <w:sz w:val="26"/>
      <w:szCs w:val="26"/>
      <w:lang w:val="zh-TW" w:eastAsia="zh-TW" w:bidi="zh-TW"/>
    </w:rPr>
  </w:style>
  <w:style w:type="character" w:customStyle="1" w:styleId="46">
    <w:name w:val="页眉 Char"/>
    <w:basedOn w:val="18"/>
    <w:link w:val="11"/>
    <w:semiHidden/>
    <w:qFormat/>
    <w:uiPriority w:val="99"/>
    <w:rPr>
      <w:rFonts w:eastAsia="Times New Roman"/>
      <w:color w:val="000000"/>
      <w:sz w:val="18"/>
      <w:szCs w:val="18"/>
    </w:rPr>
  </w:style>
  <w:style w:type="character" w:customStyle="1" w:styleId="47">
    <w:name w:val="页脚 Char"/>
    <w:basedOn w:val="18"/>
    <w:link w:val="10"/>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5211</Words>
  <Characters>5310</Characters>
  <Lines>28</Lines>
  <Paragraphs>8</Paragraphs>
  <TotalTime>4</TotalTime>
  <ScaleCrop>false</ScaleCrop>
  <LinksUpToDate>false</LinksUpToDate>
  <CharactersWithSpaces>5348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2022-04-13T07:56:00Z</dcterms:created>
  <dc:creator>lenovo</dc:creator>
  <cp:lastModifiedBy>Mr.杜</cp:lastModifiedBy>
  <dcterms:modified xsi:type="dcterms:W3CDTF">2023-03-23T09:22:24Z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73BA6608E142427AB7659554182EDBBA</vt:lpwstr>
  </property>
</Properties>
</file>