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firstLine="0" w:firstLineChars="0"/>
        <w:jc w:val="center"/>
        <w:rPr>
          <w:rFonts w:hint="default" w:ascii="Times New Roman" w:hAnsi="Times New Roman" w:eastAsia="方正小标宋简体" w:cs="Times New Roman"/>
          <w:color w:val="000000" w:themeColor="text1"/>
          <w:kern w:val="2"/>
          <w:sz w:val="44"/>
          <w:szCs w:val="44"/>
          <w:lang w:val="en-US" w:eastAsia="zh-CN" w:bidi="ar"/>
          <w14:textFill>
            <w14:solidFill>
              <w14:schemeClr w14:val="tx1"/>
            </w14:solidFill>
          </w14:textFill>
        </w:rPr>
      </w:pPr>
      <w:bookmarkStart w:id="0" w:name="OLE_LINK2"/>
      <w:bookmarkStart w:id="1" w:name="OLE_LINK1"/>
    </w:p>
    <w:p>
      <w:pPr>
        <w:keepNext w:val="0"/>
        <w:keepLines w:val="0"/>
        <w:widowControl w:val="0"/>
        <w:suppressLineNumbers w:val="0"/>
        <w:spacing w:before="0" w:beforeAutospacing="0" w:after="0" w:afterAutospacing="0" w:line="560" w:lineRule="exact"/>
        <w:ind w:left="0" w:right="0" w:firstLine="0" w:firstLineChars="0"/>
        <w:jc w:val="center"/>
        <w:rPr>
          <w:rFonts w:hint="eastAsia" w:ascii="Times New Roman" w:hAnsi="方正小标宋简体" w:eastAsia="方正小标宋简体" w:cs="Times New Roman"/>
          <w:color w:val="000000" w:themeColor="text1"/>
          <w:kern w:val="2"/>
          <w:sz w:val="44"/>
          <w:szCs w:val="44"/>
          <w:lang w:val="en-US" w:eastAsia="zh-CN" w:bidi="ar"/>
          <w14:textFill>
            <w14:solidFill>
              <w14:schemeClr w14:val="tx1"/>
            </w14:solidFill>
          </w14:textFill>
        </w:rPr>
      </w:pPr>
      <w:r>
        <w:rPr>
          <w:rFonts w:hint="default" w:ascii="Times New Roman" w:hAnsi="Times New Roman" w:eastAsia="方正小标宋简体" w:cs="Times New Roman"/>
          <w:color w:val="000000" w:themeColor="text1"/>
          <w:kern w:val="2"/>
          <w:sz w:val="44"/>
          <w:szCs w:val="44"/>
          <w:lang w:val="en-US" w:eastAsia="zh-CN" w:bidi="ar"/>
          <w14:textFill>
            <w14:solidFill>
              <w14:schemeClr w14:val="tx1"/>
            </w14:solidFill>
          </w14:textFill>
        </w:rPr>
        <w:t>2022</w:t>
      </w:r>
      <w:r>
        <w:rPr>
          <w:rFonts w:hint="eastAsia" w:ascii="Times New Roman" w:hAnsi="方正小标宋简体" w:eastAsia="方正小标宋简体" w:cs="Times New Roman"/>
          <w:color w:val="000000" w:themeColor="text1"/>
          <w:kern w:val="2"/>
          <w:sz w:val="44"/>
          <w:szCs w:val="44"/>
          <w:lang w:val="en-US" w:eastAsia="zh-CN" w:bidi="ar"/>
          <w14:textFill>
            <w14:solidFill>
              <w14:schemeClr w14:val="tx1"/>
            </w14:solidFill>
          </w14:textFill>
        </w:rPr>
        <w:t>年新疆准东煤田奇台县将军戈壁煤矿空白区普查（一区）等10个探矿权</w:t>
      </w:r>
    </w:p>
    <w:p>
      <w:pPr>
        <w:keepNext w:val="0"/>
        <w:keepLines w:val="0"/>
        <w:widowControl w:val="0"/>
        <w:suppressLineNumbers w:val="0"/>
        <w:spacing w:before="0" w:beforeAutospacing="0" w:after="0" w:afterAutospacing="0" w:line="560" w:lineRule="exact"/>
        <w:ind w:left="0" w:right="0" w:firstLine="0" w:firstLineChars="0"/>
        <w:jc w:val="center"/>
        <w:rPr>
          <w:rFonts w:eastAsia="方正小标宋简体" w:cs="Times New Roman"/>
          <w:color w:val="000000" w:themeColor="text1"/>
          <w:sz w:val="44"/>
          <w:szCs w:val="44"/>
          <w:lang w:val="en-US"/>
          <w14:textFill>
            <w14:solidFill>
              <w14:schemeClr w14:val="tx1"/>
            </w14:solidFill>
          </w14:textFill>
        </w:rPr>
      </w:pPr>
      <w:r>
        <w:rPr>
          <w:rFonts w:hint="eastAsia" w:ascii="Times New Roman" w:hAnsi="方正小标宋简体" w:eastAsia="方正小标宋简体" w:cs="Times New Roman"/>
          <w:color w:val="000000" w:themeColor="text1"/>
          <w:kern w:val="2"/>
          <w:sz w:val="44"/>
          <w:szCs w:val="44"/>
          <w:lang w:val="en-US" w:eastAsia="zh-CN" w:bidi="ar"/>
          <w14:textFill>
            <w14:solidFill>
              <w14:schemeClr w14:val="tx1"/>
            </w14:solidFill>
          </w14:textFill>
        </w:rPr>
        <w:t>挂牌出让公告</w:t>
      </w:r>
    </w:p>
    <w:p>
      <w:pPr>
        <w:keepNext w:val="0"/>
        <w:keepLines w:val="0"/>
        <w:widowControl w:val="0"/>
        <w:suppressLineNumbers w:val="0"/>
        <w:spacing w:before="0" w:beforeAutospacing="0" w:after="0" w:afterAutospacing="0" w:line="560" w:lineRule="exact"/>
        <w:ind w:left="0" w:right="0" w:firstLine="0" w:firstLineChars="0"/>
        <w:jc w:val="center"/>
        <w:rPr>
          <w:rFonts w:eastAsia="楷体" w:cs="Times New Roman"/>
          <w:color w:val="000000" w:themeColor="text1"/>
          <w:szCs w:val="32"/>
          <w:lang w:val="en-US"/>
          <w14:textFill>
            <w14:solidFill>
              <w14:schemeClr w14:val="tx1"/>
            </w14:solidFill>
          </w14:textFill>
        </w:rPr>
      </w:pPr>
      <w:r>
        <w:rPr>
          <w:rFonts w:hint="eastAsia" w:ascii="Times New Roman" w:hAnsi="Times New Roman" w:eastAsia="楷体" w:cs="Times New Roman"/>
          <w:color w:val="000000" w:themeColor="text1"/>
          <w:kern w:val="2"/>
          <w:sz w:val="32"/>
          <w:szCs w:val="32"/>
          <w:lang w:val="en-US" w:eastAsia="zh-CN" w:bidi="ar"/>
          <w14:textFill>
            <w14:solidFill>
              <w14:schemeClr w14:val="tx1"/>
            </w14:solidFill>
          </w14:textFill>
        </w:rPr>
        <w:t>（新矿探告字〔</w:t>
      </w:r>
      <w:r>
        <w:rPr>
          <w:rFonts w:hint="default" w:ascii="Times New Roman" w:hAnsi="Times New Roman" w:eastAsia="楷体" w:cs="Times New Roman"/>
          <w:color w:val="000000" w:themeColor="text1"/>
          <w:kern w:val="2"/>
          <w:sz w:val="32"/>
          <w:szCs w:val="32"/>
          <w:lang w:val="en-US" w:eastAsia="zh-CN" w:bidi="ar"/>
          <w14:textFill>
            <w14:solidFill>
              <w14:schemeClr w14:val="tx1"/>
            </w14:solidFill>
          </w14:textFill>
        </w:rPr>
        <w:t>2022</w:t>
      </w:r>
      <w:r>
        <w:rPr>
          <w:rFonts w:hint="eastAsia" w:ascii="Times New Roman" w:hAnsi="Times New Roman" w:eastAsia="楷体" w:cs="Times New Roman"/>
          <w:color w:val="000000" w:themeColor="text1"/>
          <w:kern w:val="2"/>
          <w:sz w:val="32"/>
          <w:szCs w:val="32"/>
          <w:lang w:val="en-US" w:eastAsia="zh-CN" w:bidi="ar"/>
          <w14:textFill>
            <w14:solidFill>
              <w14:schemeClr w14:val="tx1"/>
            </w14:solidFill>
          </w14:textFill>
        </w:rPr>
        <w:t>〕4号）</w:t>
      </w:r>
    </w:p>
    <w:p>
      <w:pPr>
        <w:keepNext w:val="0"/>
        <w:keepLines w:val="0"/>
        <w:widowControl w:val="0"/>
        <w:suppressLineNumbers w:val="0"/>
        <w:spacing w:before="0" w:beforeAutospacing="0" w:after="0" w:afterAutospacing="0" w:line="560" w:lineRule="exact"/>
        <w:ind w:left="0" w:right="0" w:firstLine="0" w:firstLineChars="0"/>
        <w:jc w:val="center"/>
        <w:rPr>
          <w:rFonts w:eastAsia="仿宋_GB2312" w:cs="Times New Roman"/>
          <w:color w:val="000000" w:themeColor="text1"/>
          <w:sz w:val="36"/>
          <w:szCs w:val="28"/>
          <w:lang w:val="en-US"/>
          <w14:textFill>
            <w14:solidFill>
              <w14:schemeClr w14:val="tx1"/>
            </w14:solidFill>
          </w14:textFill>
        </w:rPr>
      </w:pPr>
    </w:p>
    <w:p>
      <w:pPr>
        <w:keepNext w:val="0"/>
        <w:keepLines w:val="0"/>
        <w:widowControl w:val="0"/>
        <w:suppressLineNumbers w:val="0"/>
        <w:spacing w:before="0" w:beforeAutospacing="0" w:after="0" w:afterAutospacing="0" w:line="560" w:lineRule="exact"/>
        <w:ind w:left="0" w:right="0" w:firstLine="640" w:firstLineChars="200"/>
        <w:jc w:val="left"/>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为促进矿产资源勘查开采，按照相关法律法规的规定，经自治区人民政府批准，新疆维吾尔自治区政务服务和公共资源交易中心（以下简称交易中心）以挂牌方式出让新疆准东煤田奇台县将军戈壁煤矿空白区普查（一区）等10个探矿权。现将有关事项公告如下：</w:t>
      </w:r>
    </w:p>
    <w:p>
      <w:pPr>
        <w:pStyle w:val="2"/>
        <w:widowControl/>
        <w:spacing w:line="560" w:lineRule="exact"/>
        <w:rPr>
          <w:rFonts w:hint="default" w:ascii="Times New Roman" w:hAnsi="Times New Roman" w:cs="Times New Roman"/>
          <w:b w:val="0"/>
          <w:bCs/>
          <w:color w:val="000000" w:themeColor="text1"/>
          <w:sz w:val="32"/>
          <w:szCs w:val="32"/>
          <w:lang w:val="en-US"/>
          <w14:textFill>
            <w14:solidFill>
              <w14:schemeClr w14:val="tx1"/>
            </w14:solidFill>
          </w14:textFill>
        </w:rPr>
      </w:pPr>
      <w:r>
        <w:rPr>
          <w:rFonts w:hint="eastAsia" w:ascii="Times New Roman" w:hAnsi="Times New Roman" w:eastAsia="黑体" w:cs="黑体"/>
          <w:b w:val="0"/>
          <w:bCs/>
          <w:color w:val="000000" w:themeColor="text1"/>
          <w:sz w:val="32"/>
          <w:szCs w:val="32"/>
          <w:lang w:eastAsia="zh-CN"/>
          <w14:textFill>
            <w14:solidFill>
              <w14:schemeClr w14:val="tx1"/>
            </w14:solidFill>
          </w14:textFill>
        </w:rPr>
        <w:t>一、探矿权基本信息</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u w:val="single"/>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勘查矿种：煤</w:t>
      </w:r>
      <w:r>
        <w:rPr>
          <w:rFonts w:hint="eastAsia" w:ascii="Times New Roman" w:hAnsi="Times New Roman" w:eastAsia="仿宋_GB2312" w:cs="Times New Roman"/>
          <w:color w:val="000000" w:themeColor="text1"/>
          <w:kern w:val="0"/>
          <w:sz w:val="32"/>
          <w:szCs w:val="24"/>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首设出让期限：</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5</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年，从勘查许可证有效期开始之日起算。</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出让探矿权名称、面积、拐点坐标、挂牌起始价、增价幅度等基本情况（见附件</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1</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p>
    <w:p>
      <w:pPr>
        <w:pStyle w:val="2"/>
        <w:widowControl/>
        <w:spacing w:line="560" w:lineRule="exact"/>
        <w:rPr>
          <w:rFonts w:hint="default" w:ascii="Times New Roman" w:hAnsi="Times New Roman" w:cs="Times New Roman"/>
          <w:b w:val="0"/>
          <w:bCs/>
          <w:color w:val="000000" w:themeColor="text1"/>
          <w:sz w:val="32"/>
          <w:szCs w:val="32"/>
          <w:lang w:val="en-US"/>
          <w14:textFill>
            <w14:solidFill>
              <w14:schemeClr w14:val="tx1"/>
            </w14:solidFill>
          </w14:textFill>
        </w:rPr>
      </w:pPr>
      <w:r>
        <w:rPr>
          <w:rFonts w:hint="eastAsia" w:ascii="Times New Roman" w:hAnsi="Times New Roman" w:eastAsia="黑体" w:cs="黑体"/>
          <w:b w:val="0"/>
          <w:bCs/>
          <w:color w:val="000000" w:themeColor="text1"/>
          <w:sz w:val="32"/>
          <w:szCs w:val="32"/>
          <w:lang w:eastAsia="zh-CN"/>
          <w14:textFill>
            <w14:solidFill>
              <w14:schemeClr w14:val="tx1"/>
            </w14:solidFill>
          </w14:textFill>
        </w:rPr>
        <w:t>二、出让组织基本信息</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出 让 人：新疆维吾尔自治区自然资源厅</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地</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 xml:space="preserve"> </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 xml:space="preserve">  </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 xml:space="preserve"> </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址：乌鲁木齐市天山区金银路</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56</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号</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网</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 xml:space="preserve">    </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址：（</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http://zrzyt.xinjiang.gov.cn/</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line="560" w:lineRule="exact"/>
        <w:ind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交易平台：新疆维吾尔自治区政务服务和公共资源交易中心</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地</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 xml:space="preserve"> </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 xml:space="preserve"> </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 xml:space="preserve">  </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址：乌鲁木齐市水磨沟区准噶尔街</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299</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号益民大厦</w:t>
      </w:r>
    </w:p>
    <w:p>
      <w:pPr>
        <w:keepNext w:val="0"/>
        <w:keepLines w:val="0"/>
        <w:widowControl w:val="0"/>
        <w:suppressLineNumbers w:val="0"/>
        <w:spacing w:before="0" w:beforeAutospacing="0" w:after="0" w:afterAutospacing="0" w:line="560" w:lineRule="exact"/>
        <w:ind w:left="0" w:right="0" w:firstLine="640" w:firstLineChars="200"/>
        <w:jc w:val="left"/>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网</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 xml:space="preserve">  </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 xml:space="preserve"> </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 xml:space="preserve"> </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址：全国公共资源交易平台新疆公共资源交易网</w:t>
      </w:r>
    </w:p>
    <w:p>
      <w:pPr>
        <w:keepNext w:val="0"/>
        <w:keepLines w:val="0"/>
        <w:widowControl w:val="0"/>
        <w:suppressLineNumbers w:val="0"/>
        <w:spacing w:before="0" w:beforeAutospacing="0" w:after="0" w:afterAutospacing="0" w:line="560" w:lineRule="exact"/>
        <w:ind w:left="0" w:right="0" w:firstLine="640" w:firstLineChars="200"/>
        <w:jc w:val="left"/>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https://ggzy.xinjiang.gov.cn/xinjiangggzy</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p>
    <w:p>
      <w:pPr>
        <w:pStyle w:val="2"/>
        <w:widowControl/>
        <w:spacing w:line="560" w:lineRule="exact"/>
        <w:rPr>
          <w:rFonts w:hint="default" w:ascii="Times New Roman" w:hAnsi="Times New Roman" w:cs="Times New Roman"/>
          <w:b w:val="0"/>
          <w:bCs/>
          <w:color w:val="000000" w:themeColor="text1"/>
          <w:sz w:val="32"/>
          <w:szCs w:val="32"/>
          <w:lang w:val="en-US"/>
          <w14:textFill>
            <w14:solidFill>
              <w14:schemeClr w14:val="tx1"/>
            </w14:solidFill>
          </w14:textFill>
        </w:rPr>
      </w:pPr>
      <w:r>
        <w:rPr>
          <w:rFonts w:hint="eastAsia" w:ascii="Times New Roman" w:hAnsi="Times New Roman" w:eastAsia="黑体" w:cs="黑体"/>
          <w:b w:val="0"/>
          <w:bCs/>
          <w:color w:val="000000" w:themeColor="text1"/>
          <w:sz w:val="32"/>
          <w:szCs w:val="32"/>
          <w:lang w:eastAsia="zh-CN"/>
          <w14:textFill>
            <w14:solidFill>
              <w14:schemeClr w14:val="tx1"/>
            </w14:solidFill>
          </w14:textFill>
        </w:rPr>
        <w:t>三、竞买人资格条件</w:t>
      </w:r>
    </w:p>
    <w:p>
      <w:pPr>
        <w:keepNext w:val="0"/>
        <w:keepLines w:val="0"/>
        <w:widowControl/>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一</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中华人民共和国境内注册（不含港澳台）的营利法人或者非营利法人中的事业单位法人；</w:t>
      </w:r>
    </w:p>
    <w:p>
      <w:pPr>
        <w:keepNext w:val="0"/>
        <w:keepLines w:val="0"/>
        <w:widowControl/>
        <w:suppressLineNumbers w:val="0"/>
        <w:spacing w:before="0" w:beforeAutospacing="0" w:after="0" w:afterAutospacing="0" w:line="560" w:lineRule="exact"/>
        <w:ind w:left="0" w:right="0" w:firstLine="640" w:firstLineChars="200"/>
        <w:jc w:val="left"/>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二</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独立法人，不接受联合体竞买；</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三</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未被列入全国矿业权人勘查开采信息公示系统中的</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严重违法名单</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四</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未被</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信用中国</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网站列入</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失信惩戒对象</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重点关注名单</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安全生产领域失信生产经营单位</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 xml:space="preserve"> </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五</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未被</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国家企业信用信息公示系统</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列入</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经营异常名录</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严重违法失信企业名单</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黑体" w:hAnsi="宋体" w:eastAsia="黑体" w:cs="黑体"/>
          <w:color w:val="000000" w:themeColor="text1"/>
          <w:szCs w:val="32"/>
          <w:lang w:val="en-US"/>
          <w14:textFill>
            <w14:solidFill>
              <w14:schemeClr w14:val="tx1"/>
            </w14:solidFill>
          </w14:textFill>
        </w:rPr>
      </w:pPr>
      <w:r>
        <w:rPr>
          <w:rFonts w:hint="eastAsia" w:ascii="黑体" w:hAnsi="宋体" w:eastAsia="黑体" w:cs="黑体"/>
          <w:color w:val="000000" w:themeColor="text1"/>
          <w:kern w:val="2"/>
          <w:sz w:val="32"/>
          <w:szCs w:val="32"/>
          <w:lang w:val="en-US" w:eastAsia="zh-CN" w:bidi="ar"/>
          <w14:textFill>
            <w14:solidFill>
              <w14:schemeClr w14:val="tx1"/>
            </w14:solidFill>
          </w14:textFill>
        </w:rPr>
        <w:t>四、出让方式及交易的时间、地点</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本次探矿权出让方式为网上挂牌</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zh-CN" w:eastAsia="zh-CN"/>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（一）公告时间：</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2022</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年</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5</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月</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18</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日</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至</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2022</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年</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6</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月</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16</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日</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w:t>
      </w:r>
    </w:p>
    <w:p>
      <w:pPr>
        <w:keepNext w:val="0"/>
        <w:keepLines w:val="0"/>
        <w:widowControl w:val="0"/>
        <w:suppressLineNumbers w:val="0"/>
        <w:adjustRightInd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（二）报名时间：</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2022</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年</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5</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月</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18</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日</w:t>
      </w:r>
      <w:r>
        <w:rPr>
          <w:rFonts w:hint="default" w:ascii="Times New Roman" w:hAnsi="Times New Roman" w:eastAsia="仿宋_GB2312" w:cs="Times New Roman"/>
          <w:color w:val="000000" w:themeColor="text1"/>
          <w:kern w:val="2"/>
          <w:sz w:val="32"/>
          <w:szCs w:val="32"/>
          <w:lang w:val="zh-CN" w:eastAsia="zh-CN" w:bidi="ar"/>
          <w14:textFill>
            <w14:solidFill>
              <w14:schemeClr w14:val="tx1"/>
            </w14:solidFill>
          </w14:textFill>
        </w:rPr>
        <w:t>10</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:00</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（北京时间，下同）</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至</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2022</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年</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6</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月</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16日</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1</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8</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:00</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止。</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（三）挂牌竞价时间：</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2022</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年</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6</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月</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17</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日</w:t>
      </w:r>
      <w:r>
        <w:rPr>
          <w:rFonts w:hint="default" w:ascii="Times New Roman" w:hAnsi="Times New Roman" w:eastAsia="仿宋_GB2312" w:cs="Times New Roman"/>
          <w:color w:val="000000" w:themeColor="text1"/>
          <w:kern w:val="2"/>
          <w:sz w:val="32"/>
          <w:szCs w:val="32"/>
          <w:lang w:val="zh-CN" w:eastAsia="zh-CN" w:bidi="ar"/>
          <w14:textFill>
            <w14:solidFill>
              <w14:schemeClr w14:val="tx1"/>
            </w14:solidFill>
          </w14:textFill>
        </w:rPr>
        <w:t>10</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:00</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至</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2022</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年</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6</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月</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30</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日</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11:00</w:t>
      </w:r>
      <w:r>
        <w:rPr>
          <w:rFonts w:hint="eastAsia" w:ascii="Times New Roman" w:hAnsi="Times New Roman" w:eastAsia="仿宋_GB2312" w:cs="Times New Roman"/>
          <w:color w:val="000000" w:themeColor="text1"/>
          <w:kern w:val="2"/>
          <w:sz w:val="32"/>
          <w:szCs w:val="24"/>
          <w:lang w:val="zh-CN" w:eastAsia="zh-TW" w:bidi="ar"/>
          <w14:textFill>
            <w14:solidFill>
              <w14:schemeClr w14:val="tx1"/>
            </w14:solidFill>
          </w14:textFill>
        </w:rPr>
        <w:t>止</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。延时竞价时间：</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2022</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年</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6</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月</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30</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日</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11:00</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开始</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。竞买人</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持</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 xml:space="preserve"> CA </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数字证书登录全国公共资源交易平台新疆公共资源交易网</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fldChar w:fldCharType="begin"/>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instrText xml:space="preserve"> HYPERLINK "http://zwfw.xinjiang.gov.cn/xinjiangggzy/）进行竞价。" </w:instrTex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fldChar w:fldCharType="separate"/>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进行竞价。</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fldChar w:fldCharType="end"/>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bCs/>
          <w:color w:val="000000" w:themeColor="text1"/>
          <w:kern w:val="0"/>
          <w:sz w:val="32"/>
          <w:szCs w:val="32"/>
          <w:lang w:val="en-US" w:eastAsia="zh-CN" w:bidi="ar"/>
          <w14:textFill>
            <w14:solidFill>
              <w14:schemeClr w14:val="tx1"/>
            </w14:solidFill>
          </w14:textFill>
        </w:rPr>
        <w:t>（四）报名方式：</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本次报名采用网上报名方式，竞买申请人可按照办事指南和</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操作手册</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的指引进行网上报名和上传报名资料。</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bCs/>
          <w:color w:val="000000" w:themeColor="text1"/>
          <w:szCs w:val="32"/>
          <w:lang w:val="en-US"/>
          <w14:textFill>
            <w14:solidFill>
              <w14:schemeClr w14:val="tx1"/>
            </w14:solidFill>
          </w14:textFill>
        </w:rPr>
      </w:pPr>
      <w:r>
        <w:rPr>
          <w:rFonts w:hint="eastAsia" w:ascii="Times New Roman" w:hAnsi="Times New Roman" w:eastAsia="仿宋_GB2312" w:cs="Times New Roman"/>
          <w:bCs/>
          <w:color w:val="000000" w:themeColor="text1"/>
          <w:kern w:val="0"/>
          <w:sz w:val="32"/>
          <w:szCs w:val="32"/>
          <w:lang w:val="en-US" w:eastAsia="zh-CN" w:bidi="ar"/>
          <w14:textFill>
            <w14:solidFill>
              <w14:schemeClr w14:val="tx1"/>
            </w14:solidFill>
          </w14:textFill>
        </w:rPr>
        <w:t>（五）报名材料</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1.</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竞买人一般情况表（附件</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2</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2.</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统一社会信用代码证（未办理五证合一的须提交营业执照、组织机构代码证、税务登记证，加盖公章的原件彩色扫描件）；</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3.</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授权委托书（格式见附件</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3</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4.保函</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或保证金</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（原件彩色扫描件）</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bCs/>
          <w:color w:val="000000" w:themeColor="text1"/>
          <w:kern w:val="0"/>
          <w:szCs w:val="32"/>
          <w:lang w:val="en-US"/>
          <w14:textFill>
            <w14:solidFill>
              <w14:schemeClr w14:val="tx1"/>
            </w14:solidFill>
          </w14:textFill>
        </w:rPr>
      </w:pPr>
      <w:r>
        <w:rPr>
          <w:rFonts w:hint="eastAsia" w:ascii="Times New Roman" w:hAnsi="Times New Roman" w:eastAsia="仿宋_GB2312" w:cs="Times New Roman"/>
          <w:bCs/>
          <w:color w:val="000000" w:themeColor="text1"/>
          <w:kern w:val="0"/>
          <w:sz w:val="32"/>
          <w:szCs w:val="32"/>
          <w:lang w:val="en-US" w:eastAsia="zh-CN" w:bidi="ar"/>
          <w14:textFill>
            <w14:solidFill>
              <w14:schemeClr w14:val="tx1"/>
            </w14:solidFill>
          </w14:textFill>
        </w:rPr>
        <w:t>（六）资格确认</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24"/>
          <w:lang w:val="en-US" w:eastAsia="zh-CN" w:bidi="ar"/>
          <w14:textFill>
            <w14:solidFill>
              <w14:schemeClr w14:val="tx1"/>
            </w14:solidFill>
          </w14:textFill>
        </w:rPr>
        <w:t>意向竞买人提交报名材料后，</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交易中心</w:t>
      </w:r>
      <w:r>
        <w:rPr>
          <w:rFonts w:hint="eastAsia" w:ascii="Times New Roman" w:hAnsi="Times New Roman" w:eastAsia="仿宋_GB2312" w:cs="Times New Roman"/>
          <w:color w:val="000000" w:themeColor="text1"/>
          <w:kern w:val="2"/>
          <w:sz w:val="32"/>
          <w:szCs w:val="24"/>
          <w:lang w:val="en-US" w:eastAsia="zh-CN" w:bidi="ar"/>
          <w14:textFill>
            <w14:solidFill>
              <w14:schemeClr w14:val="tx1"/>
            </w14:solidFill>
          </w14:textFill>
        </w:rPr>
        <w:t>在线进行资格审查。符合竞买人资格条件要求的，交易中心出具《竞买资格确认书》，意向竞买人取得交易资格，成为竞买人。</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黑体" w:hAnsi="宋体" w:eastAsia="黑体" w:cs="黑体"/>
          <w:color w:val="000000" w:themeColor="text1"/>
          <w:szCs w:val="32"/>
          <w:lang w:val="en-US"/>
          <w14:textFill>
            <w14:solidFill>
              <w14:schemeClr w14:val="tx1"/>
            </w14:solidFill>
          </w14:textFill>
        </w:rPr>
      </w:pPr>
      <w:r>
        <w:rPr>
          <w:rFonts w:hint="eastAsia" w:ascii="黑体" w:hAnsi="宋体" w:eastAsia="黑体" w:cs="黑体"/>
          <w:color w:val="000000" w:themeColor="text1"/>
          <w:kern w:val="2"/>
          <w:sz w:val="32"/>
          <w:szCs w:val="32"/>
          <w:lang w:val="en-US" w:eastAsia="zh-CN" w:bidi="ar"/>
          <w14:textFill>
            <w14:solidFill>
              <w14:schemeClr w14:val="tx1"/>
            </w14:solidFill>
          </w14:textFill>
        </w:rPr>
        <w:t>五、确定竞得人标准和方法</w:t>
      </w:r>
    </w:p>
    <w:p>
      <w:pPr>
        <w:keepNext w:val="0"/>
        <w:keepLines w:val="0"/>
        <w:widowControl w:val="0"/>
        <w:suppressLineNumbers w:val="0"/>
        <w:spacing w:before="0" w:beforeAutospacing="0" w:after="0" w:afterAutospacing="0" w:line="560" w:lineRule="exact"/>
        <w:ind w:left="0" w:right="0" w:firstLine="0" w:firstLineChars="0"/>
        <w:jc w:val="both"/>
        <w:rPr>
          <w:rFonts w:eastAsia="仿宋_GB2312" w:cs="Times New Roman"/>
          <w:color w:val="000000" w:themeColor="text1"/>
          <w:szCs w:val="32"/>
          <w:lang w:val="en-US"/>
          <w14:textFill>
            <w14:solidFill>
              <w14:schemeClr w14:val="tx1"/>
            </w14:solidFill>
          </w14:textFill>
        </w:rPr>
      </w:pPr>
      <w:r>
        <w:rPr>
          <w:rFonts w:hint="default" w:ascii="Times New Roman" w:hAnsi="Times New Roman" w:eastAsia="仿宋" w:cs="Times New Roman"/>
          <w:color w:val="000000" w:themeColor="text1"/>
          <w:kern w:val="2"/>
          <w:sz w:val="32"/>
          <w:szCs w:val="32"/>
          <w:lang w:val="en-US" w:eastAsia="zh-CN" w:bidi="ar"/>
          <w14:textFill>
            <w14:solidFill>
              <w14:schemeClr w14:val="tx1"/>
            </w14:solidFill>
          </w14:textFill>
        </w:rPr>
        <w:t xml:space="preserve">   </w:t>
      </w:r>
      <w:r>
        <w:rPr>
          <w:rFonts w:hint="eastAsia" w:ascii="Times New Roman" w:hAnsi="Times New Roman" w:eastAsia="仿宋" w:cs="Times New Roman"/>
          <w:color w:val="000000" w:themeColor="text1"/>
          <w:kern w:val="2"/>
          <w:sz w:val="32"/>
          <w:szCs w:val="32"/>
          <w:lang w:val="en-US" w:eastAsia="zh-CN" w:bidi="ar"/>
          <w14:textFill>
            <w14:solidFill>
              <w14:schemeClr w14:val="tx1"/>
            </w14:solidFill>
          </w14:textFill>
        </w:rPr>
        <w:t xml:space="preserve"> </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（一）本次探矿权出让采用增价报价方式，每次增价幅度为一个增价幅度或增价幅度的整数倍。</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（二）按照价高者得原则确定竞得人，不低于起始价的最高报价者为竞得人。</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24"/>
          <w:lang w:val="en-US" w:eastAsia="zh-CN" w:bidi="ar"/>
          <w14:textFill>
            <w14:solidFill>
              <w14:schemeClr w14:val="tx1"/>
            </w14:solidFill>
          </w14:textFill>
        </w:rPr>
        <w:t>（三）签订《探矿权成交确认书》：网上挂牌成交后，网上交易系统确定竞得候选人。竞得候选人按照系统提示即时与交易平台签订《探矿权成交确认书》，并按自治区发改委《关于规范政务服务和公共资源交易中心收费项目和标准的通知》（新发改服价〔</w:t>
      </w:r>
      <w:r>
        <w:rPr>
          <w:rFonts w:hint="default" w:ascii="Times New Roman" w:hAnsi="Times New Roman" w:eastAsia="仿宋_GB2312" w:cs="Times New Roman"/>
          <w:color w:val="000000" w:themeColor="text1"/>
          <w:kern w:val="2"/>
          <w:sz w:val="32"/>
          <w:szCs w:val="24"/>
          <w:lang w:val="en-US" w:eastAsia="zh-CN" w:bidi="ar"/>
          <w14:textFill>
            <w14:solidFill>
              <w14:schemeClr w14:val="tx1"/>
            </w14:solidFill>
          </w14:textFill>
        </w:rPr>
        <w:t>2020</w:t>
      </w:r>
      <w:r>
        <w:rPr>
          <w:rFonts w:hint="eastAsia" w:ascii="Times New Roman" w:hAnsi="Times New Roman" w:eastAsia="仿宋_GB2312" w:cs="Times New Roman"/>
          <w:color w:val="000000" w:themeColor="text1"/>
          <w:kern w:val="2"/>
          <w:sz w:val="32"/>
          <w:szCs w:val="24"/>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2"/>
          <w:sz w:val="32"/>
          <w:szCs w:val="24"/>
          <w:lang w:val="en-US" w:eastAsia="zh-CN" w:bidi="ar"/>
          <w14:textFill>
            <w14:solidFill>
              <w14:schemeClr w14:val="tx1"/>
            </w14:solidFill>
          </w14:textFill>
        </w:rPr>
        <w:t>578</w:t>
      </w:r>
      <w:r>
        <w:rPr>
          <w:rFonts w:hint="eastAsia" w:ascii="Times New Roman" w:hAnsi="Times New Roman" w:eastAsia="仿宋_GB2312" w:cs="Times New Roman"/>
          <w:color w:val="000000" w:themeColor="text1"/>
          <w:kern w:val="2"/>
          <w:sz w:val="32"/>
          <w:szCs w:val="24"/>
          <w:lang w:val="en-US" w:eastAsia="zh-CN" w:bidi="ar"/>
          <w14:textFill>
            <w14:solidFill>
              <w14:schemeClr w14:val="tx1"/>
            </w14:solidFill>
          </w14:textFill>
        </w:rPr>
        <w:t>号）规定在</w:t>
      </w:r>
      <w:r>
        <w:rPr>
          <w:rFonts w:hint="default" w:ascii="Times New Roman" w:hAnsi="Times New Roman" w:eastAsia="仿宋_GB2312" w:cs="Times New Roman"/>
          <w:color w:val="000000" w:themeColor="text1"/>
          <w:kern w:val="2"/>
          <w:sz w:val="32"/>
          <w:szCs w:val="24"/>
          <w:lang w:val="en-US" w:eastAsia="zh-CN" w:bidi="ar"/>
          <w14:textFill>
            <w14:solidFill>
              <w14:schemeClr w14:val="tx1"/>
            </w14:solidFill>
          </w14:textFill>
        </w:rPr>
        <w:t>5</w:t>
      </w:r>
      <w:r>
        <w:rPr>
          <w:rFonts w:hint="eastAsia" w:ascii="Times New Roman" w:hAnsi="Times New Roman" w:eastAsia="仿宋_GB2312" w:cs="Times New Roman"/>
          <w:color w:val="000000" w:themeColor="text1"/>
          <w:kern w:val="2"/>
          <w:sz w:val="32"/>
          <w:szCs w:val="24"/>
          <w:lang w:val="en-US" w:eastAsia="zh-CN" w:bidi="ar"/>
          <w14:textFill>
            <w14:solidFill>
              <w14:schemeClr w14:val="tx1"/>
            </w14:solidFill>
          </w14:textFill>
        </w:rPr>
        <w:t>个工作日内一次性缴清相关费用，交纳完成后《探矿权成交确认书》签章生效。</w:t>
      </w:r>
    </w:p>
    <w:p>
      <w:pPr>
        <w:keepNext w:val="0"/>
        <w:keepLines w:val="0"/>
        <w:widowControl w:val="0"/>
        <w:suppressLineNumbers w:val="0"/>
        <w:spacing w:before="0" w:beforeAutospacing="0" w:after="0" w:afterAutospacing="0" w:line="560" w:lineRule="exact"/>
        <w:ind w:left="0" w:right="0" w:firstLine="640" w:firstLineChars="200"/>
        <w:jc w:val="both"/>
        <w:rPr>
          <w:rFonts w:cs="Times New Roman"/>
          <w:color w:val="000000" w:themeColor="text1"/>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24"/>
          <w:lang w:val="en-US" w:eastAsia="zh-CN" w:bidi="ar"/>
          <w14:textFill>
            <w14:solidFill>
              <w14:schemeClr w14:val="tx1"/>
            </w14:solidFill>
          </w14:textFill>
        </w:rPr>
        <w:t>（四）结果公示：交易结果在</w:t>
      </w:r>
      <w:r>
        <w:rPr>
          <w:rFonts w:hint="eastAsia" w:ascii="Times New Roman" w:hAnsi="Times New Roman" w:eastAsia="仿宋_GB2312" w:cs="Times New Roman"/>
          <w:color w:val="000000" w:themeColor="text1"/>
          <w:kern w:val="0"/>
          <w:sz w:val="32"/>
          <w:szCs w:val="24"/>
          <w:lang w:val="en-US" w:eastAsia="zh-CN" w:bidi="ar"/>
          <w14:textFill>
            <w14:solidFill>
              <w14:schemeClr w14:val="tx1"/>
            </w14:solidFill>
          </w14:textFill>
        </w:rPr>
        <w:t>新疆维吾尔自治区自然资源厅网站、</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全国公共资源交易平台新疆公共资源交易网</w:t>
      </w:r>
      <w:r>
        <w:rPr>
          <w:rFonts w:hint="eastAsia" w:ascii="Times New Roman" w:hAnsi="Times New Roman" w:eastAsia="仿宋_GB2312" w:cs="Times New Roman"/>
          <w:color w:val="000000" w:themeColor="text1"/>
          <w:kern w:val="0"/>
          <w:sz w:val="32"/>
          <w:szCs w:val="24"/>
          <w:lang w:val="en-US" w:eastAsia="zh-CN" w:bidi="ar"/>
          <w14:textFill>
            <w14:solidFill>
              <w14:schemeClr w14:val="tx1"/>
            </w14:solidFill>
          </w14:textFill>
        </w:rPr>
        <w:t>公示</w:t>
      </w:r>
      <w:r>
        <w:rPr>
          <w:rFonts w:hint="default" w:ascii="Times New Roman" w:hAnsi="Times New Roman" w:eastAsia="仿宋_GB2312" w:cs="Times New Roman"/>
          <w:color w:val="000000" w:themeColor="text1"/>
          <w:kern w:val="0"/>
          <w:sz w:val="32"/>
          <w:szCs w:val="24"/>
          <w:lang w:val="en-US" w:eastAsia="zh-CN" w:bidi="ar"/>
          <w14:textFill>
            <w14:solidFill>
              <w14:schemeClr w14:val="tx1"/>
            </w14:solidFill>
          </w14:textFill>
        </w:rPr>
        <w:t>10</w:t>
      </w:r>
      <w:r>
        <w:rPr>
          <w:rFonts w:hint="eastAsia" w:ascii="Times New Roman" w:hAnsi="Times New Roman" w:eastAsia="仿宋_GB2312" w:cs="Times New Roman"/>
          <w:color w:val="000000" w:themeColor="text1"/>
          <w:kern w:val="0"/>
          <w:sz w:val="32"/>
          <w:szCs w:val="24"/>
          <w:lang w:val="en-US" w:eastAsia="zh-CN" w:bidi="ar"/>
          <w14:textFill>
            <w14:solidFill>
              <w14:schemeClr w14:val="tx1"/>
            </w14:solidFill>
          </w14:textFill>
        </w:rPr>
        <w:t>个工作日。</w:t>
      </w:r>
    </w:p>
    <w:p>
      <w:pPr>
        <w:pStyle w:val="2"/>
        <w:widowControl/>
        <w:spacing w:line="560" w:lineRule="exact"/>
        <w:rPr>
          <w:rFonts w:hint="default" w:ascii="Times New Roman" w:hAnsi="Times New Roman" w:cs="Times New Roman"/>
          <w:b w:val="0"/>
          <w:bCs/>
          <w:color w:val="000000" w:themeColor="text1"/>
          <w:sz w:val="32"/>
          <w:szCs w:val="32"/>
          <w:lang w:val="en-US"/>
          <w14:textFill>
            <w14:solidFill>
              <w14:schemeClr w14:val="tx1"/>
            </w14:solidFill>
          </w14:textFill>
        </w:rPr>
      </w:pPr>
      <w:r>
        <w:rPr>
          <w:rFonts w:hint="eastAsia" w:ascii="Times New Roman" w:hAnsi="Times New Roman" w:eastAsia="黑体" w:cs="黑体"/>
          <w:b w:val="0"/>
          <w:bCs/>
          <w:color w:val="000000" w:themeColor="text1"/>
          <w:sz w:val="32"/>
          <w:szCs w:val="32"/>
          <w:lang w:eastAsia="zh-CN"/>
          <w14:textFill>
            <w14:solidFill>
              <w14:schemeClr w14:val="tx1"/>
            </w14:solidFill>
          </w14:textFill>
        </w:rPr>
        <w:t>六、签订出让合同、办理探矿权登记</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（一）</w:t>
      </w:r>
      <w:r>
        <w:rPr>
          <w:rFonts w:hint="eastAsia" w:ascii="Times New Roman" w:hAnsi="Times New Roman" w:eastAsia="仿宋_GB2312" w:cs="Times New Roman"/>
          <w:color w:val="000000" w:themeColor="text1"/>
          <w:kern w:val="2"/>
          <w:sz w:val="32"/>
          <w:szCs w:val="24"/>
          <w:lang w:val="en-US" w:eastAsia="zh-CN" w:bidi="ar"/>
          <w14:textFill>
            <w14:solidFill>
              <w14:schemeClr w14:val="tx1"/>
            </w14:solidFill>
          </w14:textFill>
        </w:rPr>
        <w:t>公示期间无异议的，竞得候选人在公示结束后</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3</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个月内与出让人签订《探矿权出让合同》（见附件4）。</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（二）按照《探矿权出让合同》约定缴纳矿业权出让收益后，受让人按有关规定和要求办理探矿权登记。</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（三）违约责任。交易结果公示无异议后，竞得人因自身原因未在</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3</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个月内签订出让合同，或签订合同后，未按照合同约定缴纳出让收益的，均视为违约，违约方将向出让方支付探矿权成交价</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10%</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的违约金，出让方有权不再签订合同或解除合同。</w:t>
      </w:r>
    </w:p>
    <w:p>
      <w:pPr>
        <w:pStyle w:val="2"/>
        <w:widowControl/>
        <w:spacing w:line="560" w:lineRule="exact"/>
        <w:rPr>
          <w:rFonts w:hint="default" w:ascii="Times New Roman" w:hAnsi="Times New Roman" w:cs="Times New Roman"/>
          <w:b w:val="0"/>
          <w:bCs/>
          <w:color w:val="000000" w:themeColor="text1"/>
          <w:sz w:val="32"/>
          <w:szCs w:val="32"/>
          <w:lang w:val="en-US"/>
          <w14:textFill>
            <w14:solidFill>
              <w14:schemeClr w14:val="tx1"/>
            </w14:solidFill>
          </w14:textFill>
        </w:rPr>
      </w:pPr>
      <w:r>
        <w:rPr>
          <w:rFonts w:hint="eastAsia" w:ascii="Times New Roman" w:hAnsi="Times New Roman" w:eastAsia="黑体" w:cs="黑体"/>
          <w:b w:val="0"/>
          <w:bCs/>
          <w:color w:val="000000" w:themeColor="text1"/>
          <w:sz w:val="32"/>
          <w:szCs w:val="32"/>
          <w:lang w:eastAsia="zh-CN"/>
          <w14:textFill>
            <w14:solidFill>
              <w14:schemeClr w14:val="tx1"/>
            </w14:solidFill>
          </w14:textFill>
        </w:rPr>
        <w:t>七、注意事项</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仿宋_GBK" w:hAnsi="方正仿宋_GBK" w:eastAsia="方正仿宋_GBK" w:cs="方正仿宋_GBK"/>
          <w:color w:val="000000" w:themeColor="text1"/>
          <w:szCs w:val="32"/>
          <w:shd w:val="clear" w:fill="FFFFFF"/>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一</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竞买人应遵循</w:t>
      </w:r>
      <w:r>
        <w:rPr>
          <w:rFonts w:hint="default" w:ascii="Times New Roman" w:hAnsi="Times New Roman" w:eastAsia="仿宋_GB2312" w:cs="Times New Roman"/>
          <w:color w:val="000000" w:themeColor="text1"/>
          <w:kern w:val="2"/>
          <w:sz w:val="32"/>
          <w:szCs w:val="32"/>
          <w:lang w:val="zh-CN"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公平公正、诚实信用</w:t>
      </w:r>
      <w:r>
        <w:rPr>
          <w:rFonts w:hint="default" w:ascii="Times New Roman" w:hAnsi="Times New Roman" w:eastAsia="仿宋_GB2312" w:cs="Times New Roman"/>
          <w:color w:val="000000" w:themeColor="text1"/>
          <w:kern w:val="2"/>
          <w:sz w:val="32"/>
          <w:szCs w:val="32"/>
          <w:lang w:val="zh-CN"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的原则参与本次</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竞买，</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对所提交的文件和其他资料的真实性、合法性负责。对违反公共资源交易法律法规，违背诚实信用原则的竞买人，将按照《印发〈关于对公共资源领域严重失信主体开展联合惩戒备忘录〉的通知》（发改规〔</w:t>
      </w:r>
      <w:r>
        <w:rPr>
          <w:rFonts w:hint="default" w:ascii="Times New Roman" w:hAnsi="Times New Roman" w:eastAsia="仿宋_GB2312" w:cs="Times New Roman"/>
          <w:color w:val="000000" w:themeColor="text1"/>
          <w:kern w:val="2"/>
          <w:sz w:val="32"/>
          <w:szCs w:val="32"/>
          <w:lang w:val="zh-CN" w:eastAsia="zh-CN" w:bidi="ar"/>
          <w14:textFill>
            <w14:solidFill>
              <w14:schemeClr w14:val="tx1"/>
            </w14:solidFill>
          </w14:textFill>
        </w:rPr>
        <w:t>2018</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zh-CN" w:eastAsia="zh-CN" w:bidi="ar"/>
          <w14:textFill>
            <w14:solidFill>
              <w14:schemeClr w14:val="tx1"/>
            </w14:solidFill>
          </w14:textFill>
        </w:rPr>
        <w:t>457</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号）的规定，对相关失信企业和失信个人实施联合惩戒</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并按照公告约定承担相应的违约责任。</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二</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煤炭规划井田空白区是相应规划井田的组成部分，设置和出让本次挂牌的煤炭规划井田空白区探矿权，是为了满足相应规划井田整体开发的需要，按照批准的煤炭矿区总体规划要求，出让的探矿权不具备单独转为采矿权的条件，须与规划井田的其他矿业权整合开发</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。竞得人应当自交易结果公示无异议之日起</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3</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个月内，持规划矿井所在地的地（州、市）人民政府（行署）确定其为规划井田开发主体的文件或该规划煤矿项目核准文件，与出让人签订《探矿权出让合同》；未在规定时间内提供上述材料的，竞得结果无效。</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三</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参与竞买人同意并认可本次公告的《探矿权出让合同》及《探矿权成交确认书》，在成为竞得人后，同意按该文本签订相关文件。</w:t>
      </w:r>
    </w:p>
    <w:p>
      <w:pPr>
        <w:pStyle w:val="2"/>
        <w:widowControl/>
        <w:spacing w:line="560" w:lineRule="exact"/>
        <w:rPr>
          <w:rFonts w:hint="default" w:ascii="Times New Roman" w:hAnsi="Times New Roman" w:cs="Times New Roman"/>
          <w:b w:val="0"/>
          <w:bCs w:val="0"/>
          <w:color w:val="000000" w:themeColor="text1"/>
          <w:sz w:val="32"/>
          <w:szCs w:val="32"/>
          <w:lang w:val="en-US"/>
          <w14:textFill>
            <w14:solidFill>
              <w14:schemeClr w14:val="tx1"/>
            </w14:solidFill>
          </w14:textFill>
        </w:rPr>
      </w:pPr>
      <w:r>
        <w:rPr>
          <w:rFonts w:hint="eastAsia" w:ascii="Times New Roman" w:hAnsi="Times New Roman" w:eastAsia="黑体" w:cs="黑体"/>
          <w:b w:val="0"/>
          <w:bCs w:val="0"/>
          <w:color w:val="000000" w:themeColor="text1"/>
          <w:sz w:val="32"/>
          <w:szCs w:val="32"/>
          <w:lang w:eastAsia="zh-CN"/>
          <w14:textFill>
            <w14:solidFill>
              <w14:schemeClr w14:val="tx1"/>
            </w14:solidFill>
          </w14:textFill>
        </w:rPr>
        <w:t>八、风险提示</w:t>
      </w:r>
    </w:p>
    <w:p>
      <w:pPr>
        <w:keepNext w:val="0"/>
        <w:keepLines w:val="0"/>
        <w:widowControl w:val="0"/>
        <w:suppressLineNumbers w:val="0"/>
        <w:spacing w:before="0" w:beforeAutospacing="0" w:after="0" w:afterAutospacing="0" w:line="600" w:lineRule="exact"/>
        <w:ind w:left="0" w:right="0" w:firstLine="640" w:firstLineChars="200"/>
        <w:jc w:val="both"/>
        <w:rPr>
          <w:rFonts w:eastAsia="仿宋_GB2312" w:cs="Times New Roman"/>
          <w:color w:val="000000" w:themeColor="text1"/>
          <w:szCs w:val="32"/>
          <w:lang w:val="zh-CN" w:eastAsia="zh-CN"/>
          <w14:textFill>
            <w14:solidFill>
              <w14:schemeClr w14:val="tx1"/>
            </w14:solidFill>
          </w14:textFill>
        </w:rPr>
      </w:pPr>
      <w:bookmarkStart w:id="2" w:name="_Toc12351"/>
      <w:bookmarkEnd w:id="2"/>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一</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矿产资源</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勘查具有高风险、高投入的特点。</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出让人</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提供的相关地质资料基于现阶段的认识，仅供参考，这些资料中的描述并不构成</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出让人</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对探矿权的勘查前景、资源品质等出具的保证。</w:t>
      </w:r>
    </w:p>
    <w:p>
      <w:pPr>
        <w:keepNext w:val="0"/>
        <w:keepLines w:val="0"/>
        <w:widowControl w:val="0"/>
        <w:suppressLineNumbers w:val="0"/>
        <w:spacing w:before="0" w:beforeAutospacing="0" w:after="0" w:afterAutospacing="0" w:line="60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二</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因法律法规和政策发生重大调整的，探矿权的出让人和竞得人应按新的法律法规和政策执行。</w:t>
      </w:r>
    </w:p>
    <w:p>
      <w:pPr>
        <w:keepNext w:val="0"/>
        <w:keepLines w:val="0"/>
        <w:widowControl w:val="0"/>
        <w:suppressLineNumbers w:val="0"/>
        <w:spacing w:before="0" w:beforeAutospacing="0" w:after="0" w:afterAutospacing="0" w:line="60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三</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竞买申请人必须通过</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CA</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数字证书登录网上交易系统，登录后所有操作均视为竞买人操作或授权操作。竞买申请人因其计算机遭遇网络堵塞、病毒入侵、硬件故障或者遗失数字证书、遗忘或泄露密码、操作不当等原因造成的后果自行承担。竞买人参加竞买活动使用的计算机或网络环境遭到人为攻击和干扰的，应及时向当地公安机关报案。</w:t>
      </w:r>
    </w:p>
    <w:p>
      <w:pPr>
        <w:keepNext w:val="0"/>
        <w:keepLines w:val="0"/>
        <w:widowControl w:val="0"/>
        <w:suppressLineNumbers w:val="0"/>
        <w:spacing w:before="0" w:beforeAutospacing="0" w:after="0" w:afterAutospacing="0" w:line="60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四</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网上交易时推荐用</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IE11</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及以上版本的浏览器。</w:t>
      </w:r>
    </w:p>
    <w:p>
      <w:pPr>
        <w:keepNext w:val="0"/>
        <w:keepLines w:val="0"/>
        <w:widowControl w:val="0"/>
        <w:suppressLineNumbers w:val="0"/>
        <w:spacing w:before="0" w:beforeAutospacing="0" w:after="0" w:afterAutospacing="0" w:line="600" w:lineRule="exact"/>
        <w:ind w:left="0" w:right="0" w:firstLine="640" w:firstLineChars="200"/>
        <w:jc w:val="both"/>
        <w:rPr>
          <w:rFonts w:eastAsia="仿宋_GB2312" w:cs="Times New Roman"/>
          <w:color w:val="000000" w:themeColor="text1"/>
          <w:szCs w:val="32"/>
          <w:lang w:val="zh-CN" w:eastAsia="zh-CN"/>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五</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竞得人在探矿权有效期间，应当避免浪费资源、污染环境和破坏生态，严格遵守矿产资源法律法规、相关矿业权管理政策，认真履行矿业权出让收益、相关税费缴纳等相关义务。不依法履行土地复垦、矿山地质环境保护与治理恢复等义务的，按照《土地管理法》《土地管理法实施条例》《土地复垦条例》《土地复垦条例实施办法》《矿山地质环境保护规定》等有关规定给予行政处罚。</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六</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竞得人在进行勘查开采时，须按照安全生产、生态环境保护、爆破作业、取水、水土保持等法律法规的要求，办理相应许可和手续等。竞得人在勘查开采过程中需遵守重要公路、铁路、永久基本农田、林地等相关规定，并按要求施工，公路两侧按要求预留通道。勘查开采过程中需要用地的，竞得人需按照法律法规有关规定，办理临时使用土地、土地征收、</w:t>
      </w:r>
      <w:r>
        <w:rPr>
          <w:rFonts w:hint="eastAsia" w:ascii="Times New Roman" w:hAnsi="Times New Roman" w:eastAsia="仿宋_GB2312" w:cs="Times New Roman"/>
          <w:bCs/>
          <w:color w:val="000000" w:themeColor="text1"/>
          <w:kern w:val="2"/>
          <w:sz w:val="32"/>
          <w:szCs w:val="32"/>
          <w:lang w:val="en-US" w:eastAsia="zh-CN" w:bidi="ar"/>
          <w14:textFill>
            <w14:solidFill>
              <w14:schemeClr w14:val="tx1"/>
            </w14:solidFill>
          </w14:textFill>
        </w:rPr>
        <w:t>农用地</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转用和供应</w:t>
      </w:r>
      <w:r>
        <w:rPr>
          <w:rFonts w:hint="eastAsia" w:ascii="Times New Roman" w:hAnsi="Times New Roman" w:eastAsia="仿宋_GB2312" w:cs="Times New Roman"/>
          <w:bCs/>
          <w:color w:val="000000" w:themeColor="text1"/>
          <w:kern w:val="2"/>
          <w:sz w:val="32"/>
          <w:szCs w:val="32"/>
          <w:lang w:val="en-US" w:eastAsia="zh-CN" w:bidi="ar"/>
          <w14:textFill>
            <w14:solidFill>
              <w14:schemeClr w14:val="tx1"/>
            </w14:solidFill>
          </w14:textFill>
        </w:rPr>
        <w:t>等</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相关手续</w:t>
      </w:r>
      <w:r>
        <w:rPr>
          <w:rFonts w:hint="eastAsia" w:ascii="Times New Roman" w:hAnsi="Times New Roman" w:eastAsia="仿宋_GB2312" w:cs="Times New Roman"/>
          <w:bCs/>
          <w:color w:val="000000" w:themeColor="text1"/>
          <w:kern w:val="2"/>
          <w:sz w:val="32"/>
          <w:szCs w:val="32"/>
          <w:lang w:val="en-US" w:eastAsia="zh-CN" w:bidi="ar"/>
          <w14:textFill>
            <w14:solidFill>
              <w14:schemeClr w14:val="tx1"/>
            </w14:solidFill>
          </w14:textFill>
        </w:rPr>
        <w:t>、缴纳相关费用</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。竞得人违反相关法律法规规定的，依法予以处罚。</w:t>
      </w:r>
    </w:p>
    <w:p>
      <w:pPr>
        <w:pStyle w:val="2"/>
        <w:widowControl/>
        <w:spacing w:line="560" w:lineRule="exact"/>
        <w:rPr>
          <w:rFonts w:hint="default" w:ascii="Times New Roman" w:hAnsi="Times New Roman" w:cs="Times New Roman"/>
          <w:b w:val="0"/>
          <w:bCs/>
          <w:color w:val="000000" w:themeColor="text1"/>
          <w:sz w:val="32"/>
          <w:szCs w:val="32"/>
          <w:lang w:val="zh-CN" w:eastAsia="zh-CN"/>
          <w14:textFill>
            <w14:solidFill>
              <w14:schemeClr w14:val="tx1"/>
            </w14:solidFill>
          </w14:textFill>
        </w:rPr>
      </w:pPr>
      <w:r>
        <w:rPr>
          <w:rFonts w:hint="eastAsia" w:ascii="Times New Roman" w:hAnsi="Times New Roman" w:eastAsia="黑体" w:cs="黑体"/>
          <w:b w:val="0"/>
          <w:bCs/>
          <w:color w:val="000000" w:themeColor="text1"/>
          <w:sz w:val="32"/>
          <w:szCs w:val="32"/>
          <w:lang w:eastAsia="zh-CN"/>
          <w14:textFill>
            <w14:solidFill>
              <w14:schemeClr w14:val="tx1"/>
            </w14:solidFill>
          </w14:textFill>
        </w:rPr>
        <w:t>九</w:t>
      </w:r>
      <w:r>
        <w:rPr>
          <w:rFonts w:hint="eastAsia" w:ascii="Times New Roman" w:hAnsi="Times New Roman" w:eastAsia="黑体" w:cs="黑体"/>
          <w:b w:val="0"/>
          <w:bCs/>
          <w:color w:val="000000" w:themeColor="text1"/>
          <w:sz w:val="32"/>
          <w:szCs w:val="32"/>
          <w:lang w:val="zh-CN" w:eastAsia="zh-CN"/>
          <w14:textFill>
            <w14:solidFill>
              <w14:schemeClr w14:val="tx1"/>
            </w14:solidFill>
          </w14:textFill>
        </w:rPr>
        <w:t>、其他事项</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zh-CN" w:eastAsia="zh-CN"/>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一</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本次出让公告相关信息同时在</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新疆维吾尔自治区自然资源厅</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网站、</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全国公共资源交易平台新疆公共资源交易网</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发布。</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出让</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信息如有变更，变更事项在上述网站</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发布</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，请意向竞买人密切关注。</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二</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本次出让公告其他未尽事宜，由新疆维吾尔自治区政务服务和公共资源交易中心负责解释和通知。</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pP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单位名称：新疆维吾尔自治区政务资源综合服务中心</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开户行名称：中国农业银行股份有限公司乌鲁木齐七道</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湾支行（行号：103881001270）</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基本户账号：30012701040007485</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pPr>
    </w:p>
    <w:p>
      <w:pPr>
        <w:pStyle w:val="2"/>
        <w:widowControl/>
        <w:spacing w:line="560" w:lineRule="exact"/>
        <w:rPr>
          <w:rFonts w:hint="default" w:ascii="Times New Roman" w:hAnsi="Times New Roman" w:cs="Times New Roman"/>
          <w:b w:val="0"/>
          <w:bCs/>
          <w:color w:val="000000" w:themeColor="text1"/>
          <w:sz w:val="32"/>
          <w:szCs w:val="32"/>
          <w:lang w:val="en-US"/>
          <w14:textFill>
            <w14:solidFill>
              <w14:schemeClr w14:val="tx1"/>
            </w14:solidFill>
          </w14:textFill>
        </w:rPr>
      </w:pPr>
      <w:r>
        <w:rPr>
          <w:rFonts w:hint="eastAsia" w:ascii="Times New Roman" w:hAnsi="Times New Roman" w:eastAsia="黑体" w:cs="黑体"/>
          <w:b w:val="0"/>
          <w:bCs/>
          <w:color w:val="000000" w:themeColor="text1"/>
          <w:sz w:val="32"/>
          <w:szCs w:val="32"/>
          <w:lang w:eastAsia="zh-CN"/>
          <w14:textFill>
            <w14:solidFill>
              <w14:schemeClr w14:val="tx1"/>
            </w14:solidFill>
          </w14:textFill>
        </w:rPr>
        <w:t>十、咨询和监督电话</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咨询电话：</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0991-355025</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7</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监督电话：</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0991-8816454</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黑体" w:hAnsi="宋体" w:eastAsia="黑体" w:cs="黑体"/>
          <w:color w:val="000000" w:themeColor="text1"/>
          <w:szCs w:val="32"/>
          <w:lang w:val="en-US"/>
          <w14:textFill>
            <w14:solidFill>
              <w14:schemeClr w14:val="tx1"/>
            </w14:solidFill>
          </w14:textFill>
        </w:rPr>
      </w:pPr>
      <w:r>
        <w:rPr>
          <w:rFonts w:hint="eastAsia" w:ascii="黑体" w:hAnsi="宋体" w:eastAsia="黑体" w:cs="黑体"/>
          <w:color w:val="000000" w:themeColor="text1"/>
          <w:kern w:val="0"/>
          <w:sz w:val="32"/>
          <w:szCs w:val="32"/>
          <w:lang w:val="en-US" w:eastAsia="zh-CN" w:bidi="ar"/>
          <w14:textFill>
            <w14:solidFill>
              <w14:schemeClr w14:val="tx1"/>
            </w14:solidFill>
          </w14:textFill>
        </w:rPr>
        <w:t>十一、</w:t>
      </w:r>
      <w:r>
        <w:rPr>
          <w:rFonts w:hint="eastAsia" w:ascii="黑体" w:hAnsi="宋体" w:eastAsia="黑体" w:cs="黑体"/>
          <w:color w:val="000000" w:themeColor="text1"/>
          <w:kern w:val="2"/>
          <w:sz w:val="32"/>
          <w:szCs w:val="32"/>
          <w:lang w:val="en-US" w:eastAsia="zh-CN" w:bidi="ar"/>
          <w14:textFill>
            <w14:solidFill>
              <w14:schemeClr w14:val="tx1"/>
            </w14:solidFill>
          </w14:textFill>
        </w:rPr>
        <w:t>附件</w:t>
      </w:r>
    </w:p>
    <w:p>
      <w:pPr>
        <w:keepNext w:val="0"/>
        <w:keepLines w:val="0"/>
        <w:widowControl w:val="0"/>
        <w:suppressLineNumbers w:val="0"/>
        <w:spacing w:before="0" w:beforeAutospacing="0" w:after="0" w:afterAutospacing="0" w:line="560" w:lineRule="exact"/>
        <w:ind w:left="0" w:right="0" w:firstLine="0" w:firstLineChars="0"/>
        <w:jc w:val="both"/>
        <w:rPr>
          <w:rFonts w:eastAsia="仿宋_GB2312" w:cs="Times New Roman"/>
          <w:color w:val="000000" w:themeColor="text1"/>
          <w:szCs w:val="32"/>
          <w:lang w:val="en-US"/>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 xml:space="preserve">    1.</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出让探矿权基本情况表</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2.</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竞买人一般情况表（格式）</w:t>
      </w:r>
    </w:p>
    <w:p>
      <w:pPr>
        <w:keepNext w:val="0"/>
        <w:keepLines w:val="0"/>
        <w:widowControl w:val="0"/>
        <w:suppressLineNumbers w:val="0"/>
        <w:spacing w:before="0" w:beforeAutospacing="0" w:after="0" w:afterAutospacing="0" w:line="560" w:lineRule="exact"/>
        <w:ind w:left="0" w:right="0" w:firstLine="640" w:firstLineChars="0"/>
        <w:jc w:val="both"/>
        <w:rPr>
          <w:rFonts w:eastAsia="仿宋_GB2312" w:cs="Times New Roman"/>
          <w:color w:val="000000" w:themeColor="text1"/>
          <w:szCs w:val="32"/>
          <w:lang w:val="en-US"/>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3.</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授权委托书（格式）</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4.</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探</w:t>
      </w:r>
      <w:bookmarkStart w:id="3" w:name="_GoBack"/>
      <w:bookmarkEnd w:id="3"/>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矿权出让合同</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5.</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挂牌文件</w:t>
      </w:r>
    </w:p>
    <w:p>
      <w:pPr>
        <w:keepNext w:val="0"/>
        <w:keepLines w:val="0"/>
        <w:widowControl w:val="0"/>
        <w:suppressLineNumbers w:val="0"/>
        <w:spacing w:before="0" w:beforeAutospacing="0" w:after="0" w:afterAutospacing="0" w:line="560" w:lineRule="exact"/>
        <w:ind w:left="0" w:right="0" w:firstLine="420" w:firstLineChars="200"/>
        <w:jc w:val="both"/>
        <w:rPr>
          <w:rFonts w:eastAsia="仿宋_GB2312" w:cs="Times New Roman"/>
          <w:color w:val="000000" w:themeColor="text1"/>
          <w:szCs w:val="32"/>
          <w:lang w:val="en-US"/>
          <w14:textFill>
            <w14:solidFill>
              <w14:schemeClr w14:val="tx1"/>
            </w14:solidFill>
          </w14:textFill>
        </w:rPr>
      </w:pPr>
    </w:p>
    <w:p>
      <w:pPr>
        <w:keepNext w:val="0"/>
        <w:keepLines w:val="0"/>
        <w:widowControl w:val="0"/>
        <w:suppressLineNumbers w:val="0"/>
        <w:spacing w:before="0" w:beforeAutospacing="0" w:after="0" w:afterAutospacing="0" w:line="560" w:lineRule="exact"/>
        <w:ind w:left="0" w:right="1280" w:firstLine="0" w:firstLineChars="0"/>
        <w:jc w:val="both"/>
        <w:rPr>
          <w:rFonts w:eastAsia="仿宋_GB2312" w:cs="Times New Roman"/>
          <w:color w:val="000000" w:themeColor="text1"/>
          <w:szCs w:val="32"/>
          <w:lang w:val="en-US"/>
          <w14:textFill>
            <w14:solidFill>
              <w14:schemeClr w14:val="tx1"/>
            </w14:solidFill>
          </w14:textFill>
        </w:rPr>
      </w:pPr>
    </w:p>
    <w:p>
      <w:pPr>
        <w:keepNext w:val="0"/>
        <w:keepLines w:val="0"/>
        <w:widowControl w:val="0"/>
        <w:suppressLineNumbers w:val="0"/>
        <w:spacing w:before="0" w:beforeAutospacing="0" w:after="0" w:afterAutospacing="0" w:line="560" w:lineRule="exact"/>
        <w:ind w:left="0" w:right="0" w:firstLine="640" w:firstLineChars="200"/>
        <w:jc w:val="right"/>
        <w:rPr>
          <w:rFonts w:eastAsia="仿宋_GB2312" w:cs="Times New Roman"/>
          <w:color w:val="000000" w:themeColor="text1"/>
          <w:szCs w:val="32"/>
          <w:lang w:val="en-US"/>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 xml:space="preserve">  </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新疆维吾尔自治区政务服务和公共资源交易中心</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 xml:space="preserve">                    </w:t>
      </w:r>
      <w:r>
        <w:rPr>
          <w:rFonts w:hint="default" w:ascii="Times New Roman" w:hAnsi="Times New Roman" w:eastAsia="仿宋_GB2312" w:cs="Times New Roman"/>
          <w:color w:val="FF0000"/>
          <w:kern w:val="2"/>
          <w:sz w:val="32"/>
          <w:szCs w:val="32"/>
          <w:lang w:val="en-US" w:eastAsia="zh-CN" w:bidi="ar"/>
        </w:rPr>
        <w:t xml:space="preserve">  </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2022</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年5月</w:t>
      </w:r>
      <w:bookmarkEnd w:id="0"/>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18日</w:t>
      </w:r>
      <w:bookmarkEnd w:id="1"/>
    </w:p>
    <w:p>
      <w:pPr>
        <w:rPr>
          <w:color w:val="000000" w:themeColor="text1"/>
          <w14:textFill>
            <w14:solidFill>
              <w14:schemeClr w14:val="tx1"/>
            </w14:solidFill>
          </w14:textFill>
        </w:rPr>
      </w:pPr>
    </w:p>
    <w:sectPr>
      <w:pgSz w:w="11906" w:h="16838"/>
      <w:pgMar w:top="1701"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jYzQ3MGViZWU5NDVkNWYwNzhlOGRlODdkMzFmZjAifQ=="/>
  </w:docVars>
  <w:rsids>
    <w:rsidRoot w:val="00000000"/>
    <w:rsid w:val="0231790B"/>
    <w:rsid w:val="0319537C"/>
    <w:rsid w:val="094921B7"/>
    <w:rsid w:val="0A830CFE"/>
    <w:rsid w:val="0BD2554A"/>
    <w:rsid w:val="0CA263CF"/>
    <w:rsid w:val="14C142C3"/>
    <w:rsid w:val="183D607C"/>
    <w:rsid w:val="190B538D"/>
    <w:rsid w:val="23FE7FD4"/>
    <w:rsid w:val="255F3853"/>
    <w:rsid w:val="2B3C3E97"/>
    <w:rsid w:val="2E3C1B78"/>
    <w:rsid w:val="348946C2"/>
    <w:rsid w:val="37164F30"/>
    <w:rsid w:val="3C402A98"/>
    <w:rsid w:val="3E352311"/>
    <w:rsid w:val="47D862D0"/>
    <w:rsid w:val="5842329F"/>
    <w:rsid w:val="626453AC"/>
    <w:rsid w:val="644C2F85"/>
    <w:rsid w:val="65A43042"/>
    <w:rsid w:val="6D755124"/>
    <w:rsid w:val="779F44EC"/>
    <w:rsid w:val="77CB4844"/>
    <w:rsid w:val="7B026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9"/>
    <w:semiHidden/>
    <w:unhideWhenUsed/>
    <w:qFormat/>
    <w:uiPriority w:val="0"/>
    <w:pPr>
      <w:keepNext/>
      <w:keepLines/>
      <w:widowControl/>
      <w:suppressLineNumbers w:val="0"/>
      <w:spacing w:before="0" w:beforeAutospacing="0" w:after="0" w:afterAutospacing="0" w:line="412" w:lineRule="auto"/>
      <w:ind w:left="0" w:right="0" w:firstLine="640" w:firstLineChars="200"/>
      <w:jc w:val="left"/>
      <w:outlineLvl w:val="1"/>
    </w:pPr>
    <w:rPr>
      <w:rFonts w:ascii="Arial" w:hAnsi="Arial" w:eastAsia="黑体" w:cs="Times New Roman"/>
      <w:b/>
      <w:kern w:val="0"/>
      <w:sz w:val="36"/>
      <w:szCs w:val="20"/>
      <w:lang w:val="en-US" w:eastAsia="zh-CN" w:bidi="ar"/>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rPr>
  </w:style>
  <w:style w:type="paragraph" w:styleId="4">
    <w:name w:val="header"/>
    <w:basedOn w:val="1"/>
    <w:link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 w:type="character" w:customStyle="1" w:styleId="8">
    <w:name w:val="页眉 Char"/>
    <w:basedOn w:val="6"/>
    <w:link w:val="4"/>
    <w:qFormat/>
    <w:uiPriority w:val="0"/>
    <w:rPr>
      <w:rFonts w:hint="eastAsia" w:ascii="仿宋" w:hAnsi="仿宋" w:eastAsia="仿宋" w:cs="黑体"/>
      <w:kern w:val="2"/>
      <w:sz w:val="18"/>
      <w:szCs w:val="18"/>
    </w:rPr>
  </w:style>
  <w:style w:type="character" w:customStyle="1" w:styleId="9">
    <w:name w:val="标题 2 Char"/>
    <w:basedOn w:val="6"/>
    <w:link w:val="2"/>
    <w:qFormat/>
    <w:uiPriority w:val="0"/>
    <w:rPr>
      <w:rFonts w:hint="default" w:ascii="Arial" w:hAnsi="Arial" w:eastAsia="黑体" w:cs="Arial"/>
      <w:b/>
      <w:sz w:val="36"/>
    </w:rPr>
  </w:style>
  <w:style w:type="character" w:customStyle="1" w:styleId="10">
    <w:name w:val="页脚 Char"/>
    <w:basedOn w:val="6"/>
    <w:link w:val="3"/>
    <w:qFormat/>
    <w:uiPriority w:val="0"/>
    <w:rPr>
      <w:rFonts w:hint="eastAsia" w:ascii="仿宋" w:hAnsi="仿宋" w:eastAsia="仿宋" w:cs="黑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2922</Words>
  <Characters>3129</Characters>
  <Lines>0</Lines>
  <Paragraphs>0</Paragraphs>
  <TotalTime>6</TotalTime>
  <ScaleCrop>false</ScaleCrop>
  <LinksUpToDate>false</LinksUpToDate>
  <CharactersWithSpaces>3182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2022-01-29T08:26:00Z</dcterms:created>
  <dc:creator>admin</dc:creator>
  <cp:lastModifiedBy>Administrator</cp:lastModifiedBy>
  <cp:lastPrinted>2022-01-30T02:42:00Z</cp:lastPrinted>
  <dcterms:modified xsi:type="dcterms:W3CDTF">2022-05-18T04:03:44Z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43C727203E4948C78C42E9C6D3C70DD0</vt:lpwstr>
  </property>
</Properties>
</file>